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65116" w14:textId="6E1621D5" w:rsidR="00DE2315" w:rsidRPr="00B256B7" w:rsidRDefault="00B256B7">
      <w:pPr>
        <w:rPr>
          <w:b/>
          <w:bCs/>
          <w:sz w:val="28"/>
          <w:szCs w:val="28"/>
        </w:rPr>
      </w:pPr>
      <w:r w:rsidRPr="00B256B7">
        <w:rPr>
          <w:b/>
          <w:bCs/>
          <w:sz w:val="28"/>
          <w:szCs w:val="28"/>
        </w:rPr>
        <w:t>Эволюция ПЦР</w:t>
      </w:r>
    </w:p>
    <w:p w14:paraId="04107C22" w14:textId="77777777" w:rsidR="00B256B7" w:rsidRPr="00122484" w:rsidRDefault="00B256B7" w:rsidP="00B256B7">
      <w:pPr>
        <w:rPr>
          <w:rFonts w:cs="Calibri Light"/>
        </w:rPr>
      </w:pPr>
      <w:r>
        <w:rPr>
          <w:rFonts w:cs="Calibri Light"/>
        </w:rPr>
        <w:t xml:space="preserve">Алексей Жигулин, ООО «Силекс», </w:t>
      </w:r>
      <w:hyperlink r:id="rId5" w:history="1">
        <w:r w:rsidRPr="003D69F3">
          <w:rPr>
            <w:rStyle w:val="Hyperlink"/>
            <w:rFonts w:cs="Calibri Light"/>
            <w:lang w:val="en-US"/>
          </w:rPr>
          <w:t>info</w:t>
        </w:r>
        <w:r w:rsidRPr="003D69F3">
          <w:rPr>
            <w:rStyle w:val="Hyperlink"/>
            <w:rFonts w:cs="Calibri Light"/>
          </w:rPr>
          <w:t>@</w:t>
        </w:r>
        <w:r w:rsidRPr="003D69F3">
          <w:rPr>
            <w:rStyle w:val="Hyperlink"/>
            <w:rFonts w:cs="Calibri Light"/>
            <w:lang w:val="en-US"/>
          </w:rPr>
          <w:t>sileks</w:t>
        </w:r>
        <w:r w:rsidRPr="003D69F3">
          <w:rPr>
            <w:rStyle w:val="Hyperlink"/>
            <w:rFonts w:cs="Calibri Light"/>
          </w:rPr>
          <w:t>.</w:t>
        </w:r>
        <w:r w:rsidRPr="003D69F3">
          <w:rPr>
            <w:rStyle w:val="Hyperlink"/>
            <w:rFonts w:cs="Calibri Light"/>
            <w:lang w:val="en-US"/>
          </w:rPr>
          <w:t>com</w:t>
        </w:r>
      </w:hyperlink>
    </w:p>
    <w:p w14:paraId="621CDAF1" w14:textId="37702ED5" w:rsidR="00B256B7" w:rsidRDefault="00D566D7" w:rsidP="00B256B7">
      <w:pPr>
        <w:rPr>
          <w:rFonts w:cs="Calibri Light"/>
          <w:sz w:val="16"/>
          <w:szCs w:val="16"/>
        </w:rPr>
      </w:pPr>
      <w:r>
        <w:rPr>
          <w:rFonts w:cs="Calibri Light"/>
          <w:sz w:val="16"/>
          <w:szCs w:val="16"/>
        </w:rPr>
        <w:t>12</w:t>
      </w:r>
      <w:r w:rsidR="00B256B7" w:rsidRPr="00044292">
        <w:rPr>
          <w:rFonts w:cs="Calibri Light"/>
          <w:sz w:val="16"/>
          <w:szCs w:val="16"/>
        </w:rPr>
        <w:t xml:space="preserve"> </w:t>
      </w:r>
      <w:r>
        <w:rPr>
          <w:rFonts w:cs="Calibri Light"/>
          <w:sz w:val="16"/>
          <w:szCs w:val="16"/>
        </w:rPr>
        <w:t>апреля</w:t>
      </w:r>
      <w:r w:rsidR="00B256B7" w:rsidRPr="00044292">
        <w:rPr>
          <w:rFonts w:cs="Calibri Light"/>
          <w:sz w:val="16"/>
          <w:szCs w:val="16"/>
        </w:rPr>
        <w:t xml:space="preserve"> 2021 года</w:t>
      </w:r>
    </w:p>
    <w:p w14:paraId="106A635F" w14:textId="0A16E774" w:rsidR="00B256B7" w:rsidRDefault="00B256B7" w:rsidP="00B256B7">
      <w:pPr>
        <w:rPr>
          <w:szCs w:val="20"/>
        </w:rPr>
      </w:pPr>
    </w:p>
    <w:p w14:paraId="2BB9F754" w14:textId="77777777" w:rsidR="00197F6D" w:rsidRDefault="00197F6D" w:rsidP="00B256B7">
      <w:pPr>
        <w:rPr>
          <w:szCs w:val="20"/>
        </w:rPr>
      </w:pPr>
    </w:p>
    <w:p w14:paraId="44F865D9" w14:textId="4FB7C6FA" w:rsidR="00D57526" w:rsidRDefault="00D57526" w:rsidP="00B73567">
      <w:pPr>
        <w:jc w:val="both"/>
        <w:rPr>
          <w:szCs w:val="20"/>
        </w:rPr>
      </w:pPr>
      <w:r>
        <w:rPr>
          <w:szCs w:val="20"/>
        </w:rPr>
        <w:t xml:space="preserve">Часто </w:t>
      </w:r>
      <w:r w:rsidR="003B07B7">
        <w:rPr>
          <w:szCs w:val="20"/>
        </w:rPr>
        <w:t xml:space="preserve">рассмотрение эволюции какого-либо метода позволяет увидеть его будущее через логику развития событий. </w:t>
      </w:r>
    </w:p>
    <w:p w14:paraId="585954C3" w14:textId="7615A4EA" w:rsidR="008D6F59" w:rsidRDefault="008D6F59" w:rsidP="00B73567">
      <w:pPr>
        <w:jc w:val="both"/>
        <w:rPr>
          <w:szCs w:val="20"/>
        </w:rPr>
      </w:pPr>
      <w:r w:rsidRPr="00D57526">
        <w:rPr>
          <w:szCs w:val="20"/>
        </w:rPr>
        <w:t>Полимеразная цепная реакция (ПЦР</w:t>
      </w:r>
      <w:r w:rsidRPr="005F1CA0">
        <w:rPr>
          <w:szCs w:val="20"/>
        </w:rPr>
        <w:t xml:space="preserve">, </w:t>
      </w:r>
      <w:r>
        <w:rPr>
          <w:szCs w:val="20"/>
          <w:lang w:val="en-US"/>
        </w:rPr>
        <w:t>Polymerase</w:t>
      </w:r>
      <w:r w:rsidRPr="005F1CA0">
        <w:rPr>
          <w:szCs w:val="20"/>
        </w:rPr>
        <w:t xml:space="preserve"> </w:t>
      </w:r>
      <w:r>
        <w:rPr>
          <w:szCs w:val="20"/>
          <w:lang w:val="en-US"/>
        </w:rPr>
        <w:t>Chain</w:t>
      </w:r>
      <w:r w:rsidRPr="005F1CA0">
        <w:rPr>
          <w:szCs w:val="20"/>
        </w:rPr>
        <w:t xml:space="preserve"> </w:t>
      </w:r>
      <w:r>
        <w:rPr>
          <w:szCs w:val="20"/>
          <w:lang w:val="en-US"/>
        </w:rPr>
        <w:t>Reaction</w:t>
      </w:r>
      <w:r w:rsidRPr="005F1CA0">
        <w:rPr>
          <w:szCs w:val="20"/>
        </w:rPr>
        <w:t xml:space="preserve">, </w:t>
      </w:r>
      <w:r>
        <w:rPr>
          <w:szCs w:val="20"/>
          <w:lang w:val="en-US"/>
        </w:rPr>
        <w:t>PCR</w:t>
      </w:r>
      <w:r w:rsidRPr="00D57526">
        <w:rPr>
          <w:szCs w:val="20"/>
        </w:rPr>
        <w:t xml:space="preserve">) — это </w:t>
      </w:r>
      <w:r>
        <w:rPr>
          <w:szCs w:val="20"/>
        </w:rPr>
        <w:t xml:space="preserve">великолепный пример такого метода. ПЦР является </w:t>
      </w:r>
      <w:r w:rsidRPr="00D57526">
        <w:rPr>
          <w:szCs w:val="20"/>
        </w:rPr>
        <w:t>широко распространенны</w:t>
      </w:r>
      <w:r>
        <w:rPr>
          <w:szCs w:val="20"/>
        </w:rPr>
        <w:t>м</w:t>
      </w:r>
      <w:r w:rsidRPr="00D57526">
        <w:rPr>
          <w:szCs w:val="20"/>
        </w:rPr>
        <w:t xml:space="preserve"> метод</w:t>
      </w:r>
      <w:r>
        <w:rPr>
          <w:szCs w:val="20"/>
        </w:rPr>
        <w:t>ом</w:t>
      </w:r>
      <w:r w:rsidRPr="00D57526">
        <w:rPr>
          <w:szCs w:val="20"/>
        </w:rPr>
        <w:t>, используемы</w:t>
      </w:r>
      <w:r>
        <w:rPr>
          <w:szCs w:val="20"/>
        </w:rPr>
        <w:t>м</w:t>
      </w:r>
      <w:r w:rsidRPr="00D57526">
        <w:rPr>
          <w:szCs w:val="20"/>
        </w:rPr>
        <w:t xml:space="preserve"> для диагностических целей и исследований в области молекулярной биологии. </w:t>
      </w:r>
      <w:r>
        <w:rPr>
          <w:szCs w:val="20"/>
        </w:rPr>
        <w:t xml:space="preserve">В основе </w:t>
      </w:r>
      <w:r w:rsidRPr="00D57526">
        <w:rPr>
          <w:szCs w:val="20"/>
        </w:rPr>
        <w:t xml:space="preserve">ПЦР </w:t>
      </w:r>
      <w:r>
        <w:rPr>
          <w:szCs w:val="20"/>
        </w:rPr>
        <w:t xml:space="preserve">лежит принцип многократного увеличения (амплификации) определенного участка </w:t>
      </w:r>
      <w:r w:rsidRPr="00D57526">
        <w:rPr>
          <w:szCs w:val="20"/>
        </w:rPr>
        <w:t>нуклеиновой кислоты (</w:t>
      </w:r>
      <w:r>
        <w:rPr>
          <w:szCs w:val="20"/>
        </w:rPr>
        <w:t>НК</w:t>
      </w:r>
      <w:r w:rsidRPr="00D57526">
        <w:rPr>
          <w:szCs w:val="20"/>
        </w:rPr>
        <w:t>) ферментом ДНК-полимеразой.</w:t>
      </w:r>
    </w:p>
    <w:p w14:paraId="2EB6A43C" w14:textId="4AB7E3FB" w:rsidR="00684776" w:rsidRPr="007F117D" w:rsidRDefault="00684776" w:rsidP="00B73567">
      <w:pPr>
        <w:jc w:val="both"/>
        <w:rPr>
          <w:rFonts w:asciiTheme="majorHAnsi" w:hAnsiTheme="majorHAnsi" w:cstheme="majorHAnsi"/>
          <w:color w:val="202122"/>
          <w:szCs w:val="20"/>
          <w:shd w:val="clear" w:color="auto" w:fill="FFFFFF"/>
        </w:rPr>
      </w:pPr>
      <w:r w:rsidRPr="007F117D">
        <w:rPr>
          <w:szCs w:val="20"/>
        </w:rPr>
        <w:t>Как только была открыта ДНК и сложилось представление о ее роли и структуре, активность исследований в этой области росла как снежный ком. Можно считать, что истори</w:t>
      </w:r>
      <w:r w:rsidR="00D566D7">
        <w:rPr>
          <w:szCs w:val="20"/>
        </w:rPr>
        <w:t>я</w:t>
      </w:r>
      <w:r w:rsidRPr="007F117D">
        <w:rPr>
          <w:szCs w:val="20"/>
        </w:rPr>
        <w:t xml:space="preserve"> нашего метода берет начало от легендарных ученых </w:t>
      </w:r>
      <w:hyperlink r:id="rId6" w:history="1">
        <w:r w:rsidRPr="007F117D">
          <w:rPr>
            <w:rStyle w:val="Hyperlink"/>
            <w:szCs w:val="20"/>
          </w:rPr>
          <w:t xml:space="preserve">Артура </w:t>
        </w:r>
        <w:r w:rsidRPr="007F117D">
          <w:rPr>
            <w:rStyle w:val="Hyperlink"/>
            <w:rFonts w:asciiTheme="majorHAnsi" w:hAnsiTheme="majorHAnsi" w:cstheme="majorHAnsi"/>
            <w:szCs w:val="20"/>
            <w:shd w:val="clear" w:color="auto" w:fill="FFFFFF"/>
          </w:rPr>
          <w:t>Ко́рнберга</w:t>
        </w:r>
      </w:hyperlink>
      <w:r w:rsidRPr="007F117D">
        <w:rPr>
          <w:rFonts w:asciiTheme="majorHAnsi" w:hAnsiTheme="majorHAnsi" w:cstheme="majorHAnsi"/>
          <w:color w:val="202122"/>
          <w:szCs w:val="20"/>
          <w:shd w:val="clear" w:color="auto" w:fill="FFFFFF"/>
        </w:rPr>
        <w:t xml:space="preserve"> (</w:t>
      </w:r>
      <w:hyperlink r:id="rId7" w:history="1">
        <w:r w:rsidRPr="007F117D">
          <w:rPr>
            <w:rStyle w:val="Hyperlink"/>
            <w:rFonts w:asciiTheme="majorHAnsi" w:hAnsiTheme="majorHAnsi" w:cstheme="majorHAnsi"/>
            <w:szCs w:val="20"/>
            <w:shd w:val="clear" w:color="auto" w:fill="FFFFFF"/>
          </w:rPr>
          <w:t>Arthur Kornberg</w:t>
        </w:r>
      </w:hyperlink>
      <w:r w:rsidRPr="007F117D">
        <w:rPr>
          <w:rFonts w:asciiTheme="majorHAnsi" w:hAnsiTheme="majorHAnsi" w:cstheme="majorHAnsi"/>
          <w:color w:val="202122"/>
          <w:szCs w:val="20"/>
          <w:shd w:val="clear" w:color="auto" w:fill="FFFFFF"/>
        </w:rPr>
        <w:t>) и Чарльза Ричардсона</w:t>
      </w:r>
      <w:r w:rsidR="0026002D" w:rsidRPr="007F117D">
        <w:rPr>
          <w:rFonts w:asciiTheme="majorHAnsi" w:hAnsiTheme="majorHAnsi" w:cstheme="majorHAnsi"/>
          <w:color w:val="202122"/>
          <w:szCs w:val="20"/>
          <w:shd w:val="clear" w:color="auto" w:fill="FFFFFF"/>
        </w:rPr>
        <w:t xml:space="preserve"> </w:t>
      </w:r>
      <w:r w:rsidRPr="007F117D">
        <w:rPr>
          <w:rFonts w:asciiTheme="majorHAnsi" w:hAnsiTheme="majorHAnsi" w:cstheme="majorHAnsi"/>
          <w:color w:val="202122"/>
          <w:szCs w:val="20"/>
          <w:shd w:val="clear" w:color="auto" w:fill="FFFFFF"/>
        </w:rPr>
        <w:t>(</w:t>
      </w:r>
      <w:hyperlink r:id="rId8" w:history="1">
        <w:r w:rsidRPr="007F117D">
          <w:rPr>
            <w:rStyle w:val="Hyperlink"/>
            <w:szCs w:val="20"/>
          </w:rPr>
          <w:t>C</w:t>
        </w:r>
        <w:r w:rsidRPr="007F117D">
          <w:rPr>
            <w:rStyle w:val="Hyperlink"/>
            <w:szCs w:val="20"/>
            <w:lang w:val="en-US"/>
          </w:rPr>
          <w:t>harles</w:t>
        </w:r>
        <w:r w:rsidRPr="007F117D">
          <w:rPr>
            <w:rStyle w:val="Hyperlink"/>
            <w:szCs w:val="20"/>
          </w:rPr>
          <w:t xml:space="preserve"> C. R</w:t>
        </w:r>
        <w:r w:rsidRPr="007F117D">
          <w:rPr>
            <w:rStyle w:val="Hyperlink"/>
            <w:szCs w:val="20"/>
            <w:lang w:val="en-US"/>
          </w:rPr>
          <w:t>ichardson</w:t>
        </w:r>
      </w:hyperlink>
      <w:r w:rsidRPr="007F117D">
        <w:rPr>
          <w:rFonts w:asciiTheme="majorHAnsi" w:hAnsiTheme="majorHAnsi" w:cstheme="majorHAnsi"/>
          <w:color w:val="202122"/>
          <w:szCs w:val="20"/>
          <w:shd w:val="clear" w:color="auto" w:fill="FFFFFF"/>
        </w:rPr>
        <w:t>)</w:t>
      </w:r>
      <w:r w:rsidR="0026002D" w:rsidRPr="007F117D">
        <w:rPr>
          <w:rFonts w:asciiTheme="majorHAnsi" w:hAnsiTheme="majorHAnsi" w:cstheme="majorHAnsi"/>
          <w:color w:val="202122"/>
          <w:szCs w:val="20"/>
          <w:shd w:val="clear" w:color="auto" w:fill="FFFFFF"/>
        </w:rPr>
        <w:t xml:space="preserve"> и их статей, посвященным ДНК полимеразам [1,2].</w:t>
      </w:r>
    </w:p>
    <w:p w14:paraId="5E429F73" w14:textId="02E7702A" w:rsidR="0026002D" w:rsidRPr="008D6F59" w:rsidRDefault="0026002D" w:rsidP="00B73567">
      <w:pPr>
        <w:jc w:val="both"/>
        <w:rPr>
          <w:szCs w:val="20"/>
        </w:rPr>
      </w:pPr>
      <w:r w:rsidRPr="007F117D">
        <w:rPr>
          <w:rFonts w:asciiTheme="majorHAnsi" w:hAnsiTheme="majorHAnsi" w:cstheme="majorHAnsi"/>
          <w:color w:val="202122"/>
          <w:szCs w:val="20"/>
          <w:shd w:val="clear" w:color="auto" w:fill="FFFFFF"/>
        </w:rPr>
        <w:t xml:space="preserve">Другой интересной работой, которая немного опередила свое время и поэтому не вызвала переворот в развитии </w:t>
      </w:r>
      <w:r w:rsidR="008D6F59" w:rsidRPr="007F117D">
        <w:rPr>
          <w:rFonts w:asciiTheme="majorHAnsi" w:hAnsiTheme="majorHAnsi" w:cstheme="majorHAnsi"/>
          <w:color w:val="202122"/>
          <w:szCs w:val="20"/>
          <w:shd w:val="clear" w:color="auto" w:fill="FFFFFF"/>
        </w:rPr>
        <w:t>метода, была</w:t>
      </w:r>
      <w:r w:rsidRPr="007F117D">
        <w:rPr>
          <w:rFonts w:asciiTheme="majorHAnsi" w:hAnsiTheme="majorHAnsi" w:cstheme="majorHAnsi"/>
          <w:color w:val="202122"/>
          <w:szCs w:val="20"/>
          <w:shd w:val="clear" w:color="auto" w:fill="FFFFFF"/>
        </w:rPr>
        <w:t xml:space="preserve"> статья </w:t>
      </w:r>
      <w:r w:rsidRPr="007F117D">
        <w:rPr>
          <w:szCs w:val="20"/>
        </w:rPr>
        <w:t>Хьелл</w:t>
      </w:r>
      <w:r w:rsidR="007F117D" w:rsidRPr="007F117D">
        <w:rPr>
          <w:szCs w:val="20"/>
        </w:rPr>
        <w:t>я</w:t>
      </w:r>
      <w:r w:rsidRPr="007F117D">
        <w:rPr>
          <w:szCs w:val="20"/>
        </w:rPr>
        <w:t xml:space="preserve"> Клеппе</w:t>
      </w:r>
      <w:r w:rsidR="007F117D">
        <w:rPr>
          <w:szCs w:val="20"/>
        </w:rPr>
        <w:t xml:space="preserve"> </w:t>
      </w:r>
      <w:r w:rsidR="007F117D" w:rsidRPr="007F117D">
        <w:rPr>
          <w:szCs w:val="20"/>
        </w:rPr>
        <w:t>[3].</w:t>
      </w:r>
      <w:r w:rsidR="008D6F59" w:rsidRPr="008D6F59">
        <w:rPr>
          <w:szCs w:val="20"/>
        </w:rPr>
        <w:t xml:space="preserve"> </w:t>
      </w:r>
      <w:r w:rsidR="008D6F59">
        <w:rPr>
          <w:szCs w:val="20"/>
        </w:rPr>
        <w:t>Его</w:t>
      </w:r>
      <w:r w:rsidR="008D6F59" w:rsidRPr="008D6F59">
        <w:rPr>
          <w:szCs w:val="20"/>
        </w:rPr>
        <w:t xml:space="preserve"> работа </w:t>
      </w:r>
      <w:r w:rsidR="008D6F59">
        <w:rPr>
          <w:szCs w:val="20"/>
        </w:rPr>
        <w:t>была</w:t>
      </w:r>
      <w:r w:rsidR="008D6F59" w:rsidRPr="008D6F59">
        <w:rPr>
          <w:szCs w:val="20"/>
        </w:rPr>
        <w:t xml:space="preserve"> направлена на разработку методов синтеза высокомолекулярной биспиральной</w:t>
      </w:r>
      <w:r w:rsidR="008D6F59">
        <w:rPr>
          <w:szCs w:val="20"/>
        </w:rPr>
        <w:t xml:space="preserve"> (по выражению автора)</w:t>
      </w:r>
      <w:r w:rsidR="008D6F59" w:rsidRPr="008D6F59">
        <w:rPr>
          <w:szCs w:val="20"/>
        </w:rPr>
        <w:t xml:space="preserve"> ДНК со специфическими нуклеотидными последовательностями.</w:t>
      </w:r>
    </w:p>
    <w:p w14:paraId="3DA54AF9" w14:textId="3D20C8C2" w:rsidR="00B73567" w:rsidRDefault="008D6F59" w:rsidP="00B73567">
      <w:pPr>
        <w:jc w:val="both"/>
        <w:rPr>
          <w:szCs w:val="20"/>
        </w:rPr>
      </w:pPr>
      <w:r>
        <w:rPr>
          <w:szCs w:val="20"/>
        </w:rPr>
        <w:t>Тот м</w:t>
      </w:r>
      <w:r w:rsidR="009E6486">
        <w:rPr>
          <w:szCs w:val="20"/>
        </w:rPr>
        <w:t>етод</w:t>
      </w:r>
      <w:r w:rsidR="00D57526" w:rsidRPr="00D57526">
        <w:rPr>
          <w:szCs w:val="20"/>
        </w:rPr>
        <w:t xml:space="preserve"> ПЦР</w:t>
      </w:r>
      <w:r>
        <w:rPr>
          <w:szCs w:val="20"/>
        </w:rPr>
        <w:t>, который мы знаем сегодня,</w:t>
      </w:r>
      <w:r w:rsidR="00D57526" w:rsidRPr="00D57526">
        <w:rPr>
          <w:szCs w:val="20"/>
        </w:rPr>
        <w:t xml:space="preserve"> </w:t>
      </w:r>
      <w:r w:rsidR="009E6486">
        <w:rPr>
          <w:szCs w:val="20"/>
        </w:rPr>
        <w:t>разрабатывался биохимиком</w:t>
      </w:r>
      <w:r w:rsidR="00D57526" w:rsidRPr="00D57526">
        <w:rPr>
          <w:szCs w:val="20"/>
        </w:rPr>
        <w:t xml:space="preserve"> </w:t>
      </w:r>
      <w:hyperlink r:id="rId9" w:history="1">
        <w:r w:rsidR="00D57526" w:rsidRPr="009E6486">
          <w:rPr>
            <w:rStyle w:val="Hyperlink"/>
            <w:szCs w:val="20"/>
          </w:rPr>
          <w:t>К</w:t>
        </w:r>
        <w:r w:rsidR="009E6486" w:rsidRPr="009E6486">
          <w:rPr>
            <w:rStyle w:val="Hyperlink"/>
            <w:szCs w:val="20"/>
          </w:rPr>
          <w:t>э</w:t>
        </w:r>
        <w:r w:rsidR="00D57526" w:rsidRPr="009E6486">
          <w:rPr>
            <w:rStyle w:val="Hyperlink"/>
            <w:szCs w:val="20"/>
          </w:rPr>
          <w:t>ри М</w:t>
        </w:r>
        <w:r w:rsidR="009E6486" w:rsidRPr="009E6486">
          <w:rPr>
            <w:rStyle w:val="Hyperlink"/>
            <w:szCs w:val="20"/>
          </w:rPr>
          <w:t>у</w:t>
        </w:r>
        <w:r w:rsidR="00D57526" w:rsidRPr="009E6486">
          <w:rPr>
            <w:rStyle w:val="Hyperlink"/>
            <w:szCs w:val="20"/>
          </w:rPr>
          <w:t>ллисом</w:t>
        </w:r>
      </w:hyperlink>
      <w:r w:rsidR="00D57526" w:rsidRPr="00D57526">
        <w:rPr>
          <w:szCs w:val="20"/>
        </w:rPr>
        <w:t xml:space="preserve"> </w:t>
      </w:r>
      <w:r w:rsidR="009E6486">
        <w:rPr>
          <w:szCs w:val="20"/>
        </w:rPr>
        <w:t xml:space="preserve"> (</w:t>
      </w:r>
      <w:hyperlink r:id="rId10" w:history="1">
        <w:r w:rsidR="009E6486" w:rsidRPr="009E6486">
          <w:rPr>
            <w:rStyle w:val="Hyperlink"/>
            <w:szCs w:val="20"/>
            <w:lang w:val="en-US"/>
          </w:rPr>
          <w:t>Kary</w:t>
        </w:r>
        <w:r w:rsidR="009E6486" w:rsidRPr="009E6486">
          <w:rPr>
            <w:rStyle w:val="Hyperlink"/>
            <w:szCs w:val="20"/>
          </w:rPr>
          <w:t xml:space="preserve"> </w:t>
        </w:r>
        <w:r w:rsidR="009E6486" w:rsidRPr="009E6486">
          <w:rPr>
            <w:rStyle w:val="Hyperlink"/>
            <w:szCs w:val="20"/>
            <w:lang w:val="en-US"/>
          </w:rPr>
          <w:t>Mullis</w:t>
        </w:r>
      </w:hyperlink>
      <w:r w:rsidR="009E6486" w:rsidRPr="009E6486">
        <w:rPr>
          <w:szCs w:val="20"/>
        </w:rPr>
        <w:t>)</w:t>
      </w:r>
      <w:r w:rsidR="009E6486">
        <w:rPr>
          <w:szCs w:val="20"/>
        </w:rPr>
        <w:t xml:space="preserve"> с соавторами</w:t>
      </w:r>
      <w:r w:rsidR="00D57526" w:rsidRPr="00D57526">
        <w:rPr>
          <w:szCs w:val="20"/>
        </w:rPr>
        <w:t xml:space="preserve">. </w:t>
      </w:r>
      <w:r w:rsidR="00B73567">
        <w:rPr>
          <w:szCs w:val="20"/>
        </w:rPr>
        <w:t xml:space="preserve">Статью </w:t>
      </w:r>
      <w:r w:rsidR="00B73567">
        <w:rPr>
          <w:szCs w:val="20"/>
          <w:lang w:val="en-US"/>
        </w:rPr>
        <w:t>Kary</w:t>
      </w:r>
      <w:r w:rsidR="00B73567" w:rsidRPr="00B73567">
        <w:rPr>
          <w:szCs w:val="20"/>
        </w:rPr>
        <w:t xml:space="preserve"> </w:t>
      </w:r>
      <w:r w:rsidR="00B73567">
        <w:rPr>
          <w:szCs w:val="20"/>
          <w:lang w:val="en-US"/>
        </w:rPr>
        <w:t>Mullis</w:t>
      </w:r>
      <w:r w:rsidR="00B73567" w:rsidRPr="00B73567">
        <w:rPr>
          <w:szCs w:val="20"/>
        </w:rPr>
        <w:t xml:space="preserve"> “</w:t>
      </w:r>
      <w:hyperlink r:id="rId11" w:history="1">
        <w:r w:rsidR="00B73567" w:rsidRPr="00BF7717">
          <w:rPr>
            <w:rStyle w:val="Hyperlink"/>
            <w:szCs w:val="20"/>
            <w:lang w:val="en-US"/>
          </w:rPr>
          <w:t>Unusual</w:t>
        </w:r>
        <w:r w:rsidR="00B73567" w:rsidRPr="00BF7717">
          <w:rPr>
            <w:rStyle w:val="Hyperlink"/>
            <w:szCs w:val="20"/>
          </w:rPr>
          <w:t xml:space="preserve"> </w:t>
        </w:r>
        <w:r w:rsidR="00B73567" w:rsidRPr="00BF7717">
          <w:rPr>
            <w:rStyle w:val="Hyperlink"/>
            <w:szCs w:val="20"/>
            <w:lang w:val="en-US"/>
          </w:rPr>
          <w:t>origin</w:t>
        </w:r>
        <w:r w:rsidR="00B73567" w:rsidRPr="00BF7717">
          <w:rPr>
            <w:rStyle w:val="Hyperlink"/>
            <w:szCs w:val="20"/>
          </w:rPr>
          <w:t xml:space="preserve"> </w:t>
        </w:r>
        <w:r w:rsidR="00B73567" w:rsidRPr="00BF7717">
          <w:rPr>
            <w:rStyle w:val="Hyperlink"/>
            <w:szCs w:val="20"/>
            <w:lang w:val="en-US"/>
          </w:rPr>
          <w:t>of</w:t>
        </w:r>
        <w:r w:rsidR="00B73567" w:rsidRPr="00BF7717">
          <w:rPr>
            <w:rStyle w:val="Hyperlink"/>
            <w:szCs w:val="20"/>
          </w:rPr>
          <w:t xml:space="preserve"> </w:t>
        </w:r>
        <w:r w:rsidR="00B73567" w:rsidRPr="00BF7717">
          <w:rPr>
            <w:rStyle w:val="Hyperlink"/>
            <w:szCs w:val="20"/>
            <w:lang w:val="en-US"/>
          </w:rPr>
          <w:t>the</w:t>
        </w:r>
        <w:r w:rsidR="00B73567" w:rsidRPr="00BF7717">
          <w:rPr>
            <w:rStyle w:val="Hyperlink"/>
            <w:szCs w:val="20"/>
          </w:rPr>
          <w:t xml:space="preserve"> </w:t>
        </w:r>
        <w:r w:rsidR="00B73567" w:rsidRPr="00BF7717">
          <w:rPr>
            <w:rStyle w:val="Hyperlink"/>
            <w:szCs w:val="20"/>
            <w:lang w:val="en-US"/>
          </w:rPr>
          <w:t>Polyme</w:t>
        </w:r>
        <w:r w:rsidR="00B73567" w:rsidRPr="00BF7717">
          <w:rPr>
            <w:rStyle w:val="Hyperlink"/>
            <w:szCs w:val="20"/>
            <w:lang w:val="en-US"/>
          </w:rPr>
          <w:t>r</w:t>
        </w:r>
        <w:r w:rsidR="00B73567" w:rsidRPr="00BF7717">
          <w:rPr>
            <w:rStyle w:val="Hyperlink"/>
            <w:szCs w:val="20"/>
            <w:lang w:val="en-US"/>
          </w:rPr>
          <w:t>ase</w:t>
        </w:r>
        <w:r w:rsidR="00B73567" w:rsidRPr="00BF7717">
          <w:rPr>
            <w:rStyle w:val="Hyperlink"/>
            <w:szCs w:val="20"/>
          </w:rPr>
          <w:t xml:space="preserve"> </w:t>
        </w:r>
        <w:r w:rsidR="00B73567" w:rsidRPr="00BF7717">
          <w:rPr>
            <w:rStyle w:val="Hyperlink"/>
            <w:szCs w:val="20"/>
            <w:lang w:val="en-US"/>
          </w:rPr>
          <w:t>Chain</w:t>
        </w:r>
        <w:r w:rsidR="00B73567" w:rsidRPr="00BF7717">
          <w:rPr>
            <w:rStyle w:val="Hyperlink"/>
            <w:szCs w:val="20"/>
          </w:rPr>
          <w:t xml:space="preserve"> </w:t>
        </w:r>
        <w:r w:rsidR="00B73567" w:rsidRPr="00BF7717">
          <w:rPr>
            <w:rStyle w:val="Hyperlink"/>
            <w:szCs w:val="20"/>
            <w:lang w:val="en-US"/>
          </w:rPr>
          <w:t>Reaction</w:t>
        </w:r>
      </w:hyperlink>
      <w:r w:rsidR="00B73567" w:rsidRPr="00B73567">
        <w:rPr>
          <w:szCs w:val="20"/>
        </w:rPr>
        <w:t>”</w:t>
      </w:r>
      <w:r w:rsidR="00B73567">
        <w:rPr>
          <w:szCs w:val="20"/>
        </w:rPr>
        <w:t xml:space="preserve"> </w:t>
      </w:r>
      <w:r w:rsidR="00B73567" w:rsidRPr="00B73567">
        <w:rPr>
          <w:szCs w:val="20"/>
        </w:rPr>
        <w:t>[</w:t>
      </w:r>
      <w:r w:rsidR="00DB488B">
        <w:rPr>
          <w:szCs w:val="20"/>
        </w:rPr>
        <w:t>4</w:t>
      </w:r>
      <w:r w:rsidR="00B73567" w:rsidRPr="00B73567">
        <w:rPr>
          <w:szCs w:val="20"/>
        </w:rPr>
        <w:t xml:space="preserve">] </w:t>
      </w:r>
      <w:r w:rsidR="00B73567">
        <w:rPr>
          <w:szCs w:val="20"/>
        </w:rPr>
        <w:t xml:space="preserve">можно читать как научный </w:t>
      </w:r>
      <w:r w:rsidR="00E46339">
        <w:rPr>
          <w:szCs w:val="20"/>
        </w:rPr>
        <w:t>роман</w:t>
      </w:r>
      <w:r w:rsidR="00B73567">
        <w:rPr>
          <w:szCs w:val="20"/>
        </w:rPr>
        <w:t>, написанный от первого лица.</w:t>
      </w:r>
      <w:r w:rsidR="00B73567" w:rsidRPr="00B73567">
        <w:rPr>
          <w:szCs w:val="20"/>
        </w:rPr>
        <w:t xml:space="preserve"> </w:t>
      </w:r>
      <w:r w:rsidR="00B73567">
        <w:rPr>
          <w:szCs w:val="20"/>
        </w:rPr>
        <w:t>Всем настоятельно рекомендую прочитать эту потрясающую статью.</w:t>
      </w:r>
    </w:p>
    <w:p w14:paraId="0E7D656F" w14:textId="3552C2AD" w:rsidR="00B256B7" w:rsidRDefault="00D57526" w:rsidP="00B73567">
      <w:pPr>
        <w:jc w:val="both"/>
        <w:rPr>
          <w:szCs w:val="20"/>
        </w:rPr>
      </w:pPr>
      <w:r w:rsidRPr="00D57526">
        <w:rPr>
          <w:szCs w:val="20"/>
        </w:rPr>
        <w:t>Универсальность ПЦР заключается в том, что она амплифицирует небольшие количества последовательност</w:t>
      </w:r>
      <w:r w:rsidR="00162246">
        <w:rPr>
          <w:szCs w:val="20"/>
        </w:rPr>
        <w:t>и</w:t>
      </w:r>
      <w:r w:rsidRPr="00D57526">
        <w:rPr>
          <w:szCs w:val="20"/>
        </w:rPr>
        <w:t xml:space="preserve"> нуклеинов</w:t>
      </w:r>
      <w:r w:rsidR="00162246">
        <w:rPr>
          <w:szCs w:val="20"/>
        </w:rPr>
        <w:t>ой</w:t>
      </w:r>
      <w:r w:rsidRPr="00D57526">
        <w:rPr>
          <w:szCs w:val="20"/>
        </w:rPr>
        <w:t xml:space="preserve"> кислот</w:t>
      </w:r>
      <w:r w:rsidR="00162246">
        <w:rPr>
          <w:szCs w:val="20"/>
        </w:rPr>
        <w:t>ы</w:t>
      </w:r>
      <w:r w:rsidRPr="00D57526">
        <w:rPr>
          <w:szCs w:val="20"/>
        </w:rPr>
        <w:t>-мишен</w:t>
      </w:r>
      <w:r w:rsidR="00162246">
        <w:rPr>
          <w:szCs w:val="20"/>
        </w:rPr>
        <w:t>и</w:t>
      </w:r>
      <w:r w:rsidRPr="00D57526">
        <w:rPr>
          <w:szCs w:val="20"/>
        </w:rPr>
        <w:t xml:space="preserve">, давая количество продукта, которое может быть обнаружено последующими методами, такими как визуализация </w:t>
      </w:r>
      <w:r w:rsidR="00B73567">
        <w:rPr>
          <w:szCs w:val="20"/>
        </w:rPr>
        <w:t>НК</w:t>
      </w:r>
      <w:r w:rsidRPr="00D57526">
        <w:rPr>
          <w:szCs w:val="20"/>
        </w:rPr>
        <w:t xml:space="preserve"> на агарозном геле. Это связано с экспоненциальн</w:t>
      </w:r>
      <w:r w:rsidR="00B73567">
        <w:rPr>
          <w:szCs w:val="20"/>
        </w:rPr>
        <w:t>ой</w:t>
      </w:r>
      <w:r w:rsidRPr="00D57526">
        <w:rPr>
          <w:szCs w:val="20"/>
        </w:rPr>
        <w:t xml:space="preserve"> </w:t>
      </w:r>
      <w:r w:rsidR="00B73567">
        <w:rPr>
          <w:szCs w:val="20"/>
        </w:rPr>
        <w:t>наработкой</w:t>
      </w:r>
      <w:r w:rsidRPr="00D57526">
        <w:rPr>
          <w:szCs w:val="20"/>
        </w:rPr>
        <w:t xml:space="preserve"> последовательности и получением миллионов копий исходного шаблона.</w:t>
      </w:r>
    </w:p>
    <w:p w14:paraId="032FC042" w14:textId="10CBFAF4" w:rsidR="00B73567" w:rsidRDefault="00B73567" w:rsidP="00B73567">
      <w:pPr>
        <w:jc w:val="both"/>
        <w:rPr>
          <w:szCs w:val="20"/>
        </w:rPr>
      </w:pPr>
      <w:r>
        <w:rPr>
          <w:szCs w:val="20"/>
        </w:rPr>
        <w:t xml:space="preserve">Стремительное развитие ПЦР можно проследить по самым первым статьям </w:t>
      </w:r>
      <w:r w:rsidRPr="00B73567">
        <w:rPr>
          <w:szCs w:val="20"/>
        </w:rPr>
        <w:t>[</w:t>
      </w:r>
      <w:r w:rsidR="00DB488B">
        <w:rPr>
          <w:szCs w:val="20"/>
        </w:rPr>
        <w:t>5</w:t>
      </w:r>
      <w:r w:rsidRPr="00B73567">
        <w:rPr>
          <w:szCs w:val="20"/>
        </w:rPr>
        <w:t>,</w:t>
      </w:r>
      <w:r w:rsidR="00DB488B">
        <w:rPr>
          <w:szCs w:val="20"/>
        </w:rPr>
        <w:t>6</w:t>
      </w:r>
      <w:r w:rsidRPr="00B73567">
        <w:rPr>
          <w:szCs w:val="20"/>
        </w:rPr>
        <w:t>,</w:t>
      </w:r>
      <w:r w:rsidR="00DB488B">
        <w:rPr>
          <w:szCs w:val="20"/>
        </w:rPr>
        <w:t>7</w:t>
      </w:r>
      <w:r w:rsidRPr="00B73567">
        <w:rPr>
          <w:szCs w:val="20"/>
        </w:rPr>
        <w:t>].</w:t>
      </w:r>
    </w:p>
    <w:p w14:paraId="703D45E7" w14:textId="691302C2" w:rsidR="00B73567" w:rsidRDefault="00B73567" w:rsidP="00B73567">
      <w:pPr>
        <w:jc w:val="both"/>
        <w:rPr>
          <w:szCs w:val="20"/>
        </w:rPr>
      </w:pPr>
    </w:p>
    <w:p w14:paraId="195DAA37" w14:textId="3289ADB4" w:rsidR="00DD7BCE" w:rsidRPr="00DD7BCE" w:rsidRDefault="00DD7BCE" w:rsidP="00B73567">
      <w:pPr>
        <w:jc w:val="both"/>
        <w:rPr>
          <w:sz w:val="24"/>
          <w:szCs w:val="24"/>
        </w:rPr>
      </w:pPr>
      <w:r w:rsidRPr="00DD7BCE">
        <w:rPr>
          <w:sz w:val="24"/>
          <w:szCs w:val="24"/>
        </w:rPr>
        <w:t>Компоненты ПЦР</w:t>
      </w:r>
    </w:p>
    <w:p w14:paraId="66D992FA" w14:textId="48271C6C" w:rsidR="00DD7BCE" w:rsidRDefault="00DD7BCE" w:rsidP="00B73567">
      <w:pPr>
        <w:jc w:val="both"/>
        <w:rPr>
          <w:szCs w:val="20"/>
        </w:rPr>
      </w:pPr>
    </w:p>
    <w:p w14:paraId="1F7A2484" w14:textId="6B3913CE" w:rsidR="00DD7BCE" w:rsidRDefault="00DD7BCE" w:rsidP="00B73567">
      <w:pPr>
        <w:jc w:val="both"/>
        <w:rPr>
          <w:szCs w:val="20"/>
        </w:rPr>
      </w:pPr>
      <w:r>
        <w:rPr>
          <w:szCs w:val="20"/>
        </w:rPr>
        <w:t xml:space="preserve">Чтобы </w:t>
      </w:r>
      <w:hyperlink r:id="rId12" w:history="1">
        <w:r w:rsidRPr="00BF7717">
          <w:rPr>
            <w:rStyle w:val="Hyperlink"/>
            <w:szCs w:val="20"/>
          </w:rPr>
          <w:t>ПЦР</w:t>
        </w:r>
      </w:hyperlink>
      <w:r>
        <w:rPr>
          <w:szCs w:val="20"/>
        </w:rPr>
        <w:t xml:space="preserve"> мог работать, реакционная смесь должна содержать следующие компоненты:</w:t>
      </w:r>
    </w:p>
    <w:p w14:paraId="45C9C032" w14:textId="368E4966" w:rsidR="00DD7BCE" w:rsidRDefault="00DD7BCE" w:rsidP="00B73567">
      <w:pPr>
        <w:jc w:val="both"/>
        <w:rPr>
          <w:szCs w:val="20"/>
        </w:rPr>
      </w:pPr>
      <w:r>
        <w:rPr>
          <w:szCs w:val="20"/>
        </w:rPr>
        <w:t>- матрицу,</w:t>
      </w:r>
    </w:p>
    <w:p w14:paraId="0BA2AC18" w14:textId="6CE7F98B" w:rsidR="00DD7BCE" w:rsidRDefault="00DD7BCE" w:rsidP="00B73567">
      <w:pPr>
        <w:jc w:val="both"/>
        <w:rPr>
          <w:szCs w:val="20"/>
        </w:rPr>
      </w:pPr>
      <w:r>
        <w:rPr>
          <w:szCs w:val="20"/>
        </w:rPr>
        <w:t>- праймеры,</w:t>
      </w:r>
    </w:p>
    <w:p w14:paraId="1A5D3219" w14:textId="2947C459" w:rsidR="00DD7BCE" w:rsidRDefault="00DD7BCE" w:rsidP="00B73567">
      <w:pPr>
        <w:jc w:val="both"/>
        <w:rPr>
          <w:szCs w:val="20"/>
        </w:rPr>
      </w:pPr>
      <w:r>
        <w:rPr>
          <w:szCs w:val="20"/>
        </w:rPr>
        <w:t>- нуклеотиды (</w:t>
      </w:r>
      <w:hyperlink r:id="rId13" w:history="1">
        <w:r w:rsidRPr="00BF7717">
          <w:rPr>
            <w:rStyle w:val="Hyperlink"/>
            <w:szCs w:val="20"/>
          </w:rPr>
          <w:t>трифосфаты</w:t>
        </w:r>
      </w:hyperlink>
      <w:r>
        <w:rPr>
          <w:szCs w:val="20"/>
        </w:rPr>
        <w:t>),</w:t>
      </w:r>
    </w:p>
    <w:p w14:paraId="200A02D4" w14:textId="2570897C" w:rsidR="00DD7BCE" w:rsidRDefault="00DD7BCE" w:rsidP="00B73567">
      <w:pPr>
        <w:jc w:val="both"/>
        <w:rPr>
          <w:szCs w:val="20"/>
        </w:rPr>
      </w:pPr>
      <w:r>
        <w:rPr>
          <w:szCs w:val="20"/>
        </w:rPr>
        <w:t>- ДНК полимераза,</w:t>
      </w:r>
    </w:p>
    <w:p w14:paraId="69570E45" w14:textId="30F2D12E" w:rsidR="00DD7BCE" w:rsidRDefault="00DD7BCE" w:rsidP="00B73567">
      <w:pPr>
        <w:jc w:val="both"/>
        <w:rPr>
          <w:szCs w:val="20"/>
        </w:rPr>
      </w:pPr>
      <w:r>
        <w:rPr>
          <w:szCs w:val="20"/>
        </w:rPr>
        <w:t>- буфер.</w:t>
      </w:r>
    </w:p>
    <w:p w14:paraId="6E4FAB8C" w14:textId="017511E6" w:rsidR="00DD7BCE" w:rsidRDefault="00DD7BCE" w:rsidP="00B73567">
      <w:pPr>
        <w:jc w:val="both"/>
        <w:rPr>
          <w:szCs w:val="20"/>
        </w:rPr>
      </w:pPr>
    </w:p>
    <w:p w14:paraId="033C57BC" w14:textId="311B673A" w:rsidR="00DD7BCE" w:rsidRPr="00DD7BCE" w:rsidRDefault="00DD7BCE" w:rsidP="00B73567">
      <w:pPr>
        <w:jc w:val="both"/>
        <w:rPr>
          <w:b/>
          <w:bCs/>
          <w:szCs w:val="20"/>
        </w:rPr>
      </w:pPr>
      <w:r w:rsidRPr="00DD7BCE">
        <w:rPr>
          <w:b/>
          <w:bCs/>
          <w:szCs w:val="20"/>
        </w:rPr>
        <w:t>Матрица</w:t>
      </w:r>
    </w:p>
    <w:p w14:paraId="0353DEE9" w14:textId="1B8550F6" w:rsidR="00DD7BCE" w:rsidRDefault="00DD7BCE" w:rsidP="00B73567">
      <w:pPr>
        <w:jc w:val="both"/>
        <w:rPr>
          <w:szCs w:val="20"/>
        </w:rPr>
      </w:pPr>
      <w:r>
        <w:rPr>
          <w:szCs w:val="20"/>
        </w:rPr>
        <w:t xml:space="preserve">Матрицей для ПЦР может выступать любая нуклеиновая кислота – ДНК, РНК, кДНК. Чтобы быть эффективной матрицей, участок, представляющий интерес для работы, не должен иметь сложные структурные образования (шпильки), быть жестко связанным с каким-либо протеиновым комплексом или </w:t>
      </w:r>
      <w:r w:rsidR="006E34B6">
        <w:rPr>
          <w:szCs w:val="20"/>
        </w:rPr>
        <w:t>иной химической структурой.</w:t>
      </w:r>
    </w:p>
    <w:p w14:paraId="647FABDB" w14:textId="10F0DD22" w:rsidR="006E34B6" w:rsidRDefault="006E34B6" w:rsidP="00B73567">
      <w:pPr>
        <w:jc w:val="both"/>
        <w:rPr>
          <w:szCs w:val="20"/>
        </w:rPr>
      </w:pPr>
    </w:p>
    <w:p w14:paraId="03601C66" w14:textId="3E3A0C35" w:rsidR="006E34B6" w:rsidRPr="006E34B6" w:rsidRDefault="006E34B6" w:rsidP="00B73567">
      <w:pPr>
        <w:jc w:val="both"/>
        <w:rPr>
          <w:b/>
          <w:bCs/>
          <w:szCs w:val="20"/>
        </w:rPr>
      </w:pPr>
      <w:r w:rsidRPr="006E34B6">
        <w:rPr>
          <w:b/>
          <w:bCs/>
          <w:szCs w:val="20"/>
        </w:rPr>
        <w:t>Праймеры</w:t>
      </w:r>
    </w:p>
    <w:p w14:paraId="53F32F69" w14:textId="0E16718A" w:rsidR="006E34B6" w:rsidRDefault="006E34B6" w:rsidP="00B73567">
      <w:pPr>
        <w:jc w:val="both"/>
        <w:rPr>
          <w:szCs w:val="20"/>
        </w:rPr>
      </w:pPr>
      <w:r>
        <w:rPr>
          <w:szCs w:val="20"/>
        </w:rPr>
        <w:t xml:space="preserve">Праймеры не должны быть комплиментарными друг к другу, чтобы не образовывать праймер-димеров. Праймеры должны иметь длину, по возможности минимальную, чтобы можно было </w:t>
      </w:r>
      <w:r w:rsidR="00F06C29">
        <w:rPr>
          <w:szCs w:val="20"/>
        </w:rPr>
        <w:t>максимально комфортно оптимизировать температуру отжига. И самое главное – праймеры должны быть высокоспецифичными, т.е., отжигаться исключительно на требуемой последовательности. Именно это условие и является основной проблемой ПЦР.</w:t>
      </w:r>
    </w:p>
    <w:p w14:paraId="0E0E641F" w14:textId="5923BA73" w:rsidR="00F06C29" w:rsidRDefault="00F06C29" w:rsidP="00B73567">
      <w:pPr>
        <w:jc w:val="both"/>
        <w:rPr>
          <w:szCs w:val="20"/>
        </w:rPr>
      </w:pPr>
    </w:p>
    <w:p w14:paraId="4AB4A8AA" w14:textId="1B6AFAF4" w:rsidR="00F06C29" w:rsidRPr="00F06C29" w:rsidRDefault="00F06C29" w:rsidP="00B73567">
      <w:pPr>
        <w:jc w:val="both"/>
        <w:rPr>
          <w:b/>
          <w:bCs/>
          <w:szCs w:val="20"/>
        </w:rPr>
      </w:pPr>
      <w:r w:rsidRPr="00F06C29">
        <w:rPr>
          <w:b/>
          <w:bCs/>
          <w:szCs w:val="20"/>
        </w:rPr>
        <w:t>Нуклеотиды (трифосфаты)</w:t>
      </w:r>
    </w:p>
    <w:p w14:paraId="722A2AA5" w14:textId="484ABCBA" w:rsidR="00F06C29" w:rsidRDefault="00F06C29" w:rsidP="00B73567">
      <w:pPr>
        <w:jc w:val="both"/>
        <w:rPr>
          <w:szCs w:val="20"/>
        </w:rPr>
      </w:pPr>
      <w:r>
        <w:rPr>
          <w:szCs w:val="20"/>
        </w:rPr>
        <w:t xml:space="preserve">Основное требование к </w:t>
      </w:r>
      <w:r w:rsidR="00DB488B">
        <w:rPr>
          <w:szCs w:val="20"/>
        </w:rPr>
        <w:t>трифосфатам -</w:t>
      </w:r>
      <w:r>
        <w:rPr>
          <w:szCs w:val="20"/>
        </w:rPr>
        <w:t xml:space="preserve"> не содержать ди-, моно</w:t>
      </w:r>
      <w:r w:rsidR="00DB488B">
        <w:rPr>
          <w:szCs w:val="20"/>
        </w:rPr>
        <w:t xml:space="preserve">фосфаты. </w:t>
      </w:r>
    </w:p>
    <w:p w14:paraId="7636F752" w14:textId="35BAF721" w:rsidR="00DB488B" w:rsidRDefault="00DB488B" w:rsidP="00B73567">
      <w:pPr>
        <w:jc w:val="both"/>
        <w:rPr>
          <w:szCs w:val="20"/>
        </w:rPr>
      </w:pPr>
    </w:p>
    <w:p w14:paraId="60A78E05" w14:textId="5DA781C6" w:rsidR="00DB488B" w:rsidRPr="00DB488B" w:rsidRDefault="00DB488B" w:rsidP="00B73567">
      <w:pPr>
        <w:jc w:val="both"/>
        <w:rPr>
          <w:b/>
          <w:bCs/>
          <w:szCs w:val="20"/>
        </w:rPr>
      </w:pPr>
      <w:r w:rsidRPr="00DB488B">
        <w:rPr>
          <w:b/>
          <w:bCs/>
          <w:szCs w:val="20"/>
        </w:rPr>
        <w:t>ДНК полимераза</w:t>
      </w:r>
    </w:p>
    <w:p w14:paraId="7E2A817C" w14:textId="25C6A02E" w:rsidR="00DB488B" w:rsidRDefault="00DB488B" w:rsidP="00B73567">
      <w:pPr>
        <w:jc w:val="both"/>
        <w:rPr>
          <w:szCs w:val="20"/>
        </w:rPr>
      </w:pPr>
      <w:r>
        <w:rPr>
          <w:szCs w:val="20"/>
        </w:rPr>
        <w:t xml:space="preserve">На сегодняшний день существует огромное количество вариаций </w:t>
      </w:r>
      <w:hyperlink r:id="rId14" w:history="1">
        <w:r w:rsidRPr="00BF7717">
          <w:rPr>
            <w:rStyle w:val="Hyperlink"/>
            <w:szCs w:val="20"/>
          </w:rPr>
          <w:t>ДНК полимераз</w:t>
        </w:r>
      </w:hyperlink>
      <w:r>
        <w:rPr>
          <w:szCs w:val="20"/>
        </w:rPr>
        <w:t xml:space="preserve">, как термостабильных (наиболее часто используемых в рутинном ПЦР), так и </w:t>
      </w:r>
      <w:r w:rsidR="00197F6D">
        <w:rPr>
          <w:szCs w:val="20"/>
        </w:rPr>
        <w:t>термолабильных, применяемых в изотермических ПЦР. Почти всегда коммерческие ДНК полимеразы имеют собственные уникальные названия, которые мало или совсем никак не отражают их реальные свойства. Поэтому выбор оптимальной полимеразы – дело опыта и эмпирического подбора под конкретную задачу.</w:t>
      </w:r>
    </w:p>
    <w:p w14:paraId="7F9A26C5" w14:textId="57CE51E5" w:rsidR="00197F6D" w:rsidRDefault="00197F6D" w:rsidP="00B73567">
      <w:pPr>
        <w:jc w:val="both"/>
        <w:rPr>
          <w:szCs w:val="20"/>
        </w:rPr>
      </w:pPr>
    </w:p>
    <w:p w14:paraId="2128A1A0" w14:textId="4AD874CC" w:rsidR="00197F6D" w:rsidRPr="00197F6D" w:rsidRDefault="00197F6D" w:rsidP="00B73567">
      <w:pPr>
        <w:jc w:val="both"/>
        <w:rPr>
          <w:b/>
          <w:bCs/>
          <w:szCs w:val="20"/>
        </w:rPr>
      </w:pPr>
      <w:r w:rsidRPr="00197F6D">
        <w:rPr>
          <w:b/>
          <w:bCs/>
          <w:szCs w:val="20"/>
        </w:rPr>
        <w:lastRenderedPageBreak/>
        <w:t>Буфер</w:t>
      </w:r>
    </w:p>
    <w:p w14:paraId="1A4C081C" w14:textId="35BC1D4B" w:rsidR="00F02052" w:rsidRDefault="00197F6D" w:rsidP="00B73567">
      <w:pPr>
        <w:jc w:val="both"/>
        <w:rPr>
          <w:szCs w:val="20"/>
        </w:rPr>
      </w:pPr>
      <w:r>
        <w:rPr>
          <w:szCs w:val="20"/>
        </w:rPr>
        <w:t>Буфер должен содержать компоненты, необходимые для эффективной полимеразной реакции. Чаще всего такими компонентами являются</w:t>
      </w:r>
      <w:r w:rsidR="00F02052">
        <w:rPr>
          <w:szCs w:val="20"/>
        </w:rPr>
        <w:t>:</w:t>
      </w:r>
      <w:r>
        <w:rPr>
          <w:szCs w:val="20"/>
        </w:rPr>
        <w:t xml:space="preserve"> </w:t>
      </w:r>
    </w:p>
    <w:p w14:paraId="6D05944B" w14:textId="7C517310" w:rsidR="00197F6D" w:rsidRDefault="00F02052" w:rsidP="00B73567">
      <w:pPr>
        <w:jc w:val="both"/>
        <w:rPr>
          <w:szCs w:val="20"/>
        </w:rPr>
      </w:pPr>
      <w:r>
        <w:rPr>
          <w:szCs w:val="20"/>
        </w:rPr>
        <w:t xml:space="preserve">- соли, обеспечивающие поддержания определенного значения рН (часто это разные модификации </w:t>
      </w:r>
      <w:r>
        <w:rPr>
          <w:szCs w:val="20"/>
          <w:lang w:val="en-US"/>
        </w:rPr>
        <w:t>Tris</w:t>
      </w:r>
      <w:r>
        <w:rPr>
          <w:szCs w:val="20"/>
        </w:rPr>
        <w:t>)</w:t>
      </w:r>
    </w:p>
    <w:p w14:paraId="5BB81B7B" w14:textId="54E438F1" w:rsidR="00F02052" w:rsidRDefault="00F02052" w:rsidP="00B73567">
      <w:pPr>
        <w:jc w:val="both"/>
        <w:rPr>
          <w:szCs w:val="20"/>
        </w:rPr>
      </w:pPr>
      <w:r>
        <w:rPr>
          <w:szCs w:val="20"/>
        </w:rPr>
        <w:t>- соли, обеспечивающие ионную силу (в основном это соли калия, натрия, аммонийные соли)</w:t>
      </w:r>
    </w:p>
    <w:p w14:paraId="526968CA" w14:textId="2E45D41F" w:rsidR="00F02052" w:rsidRDefault="00F02052" w:rsidP="00B73567">
      <w:pPr>
        <w:jc w:val="both"/>
        <w:rPr>
          <w:szCs w:val="20"/>
        </w:rPr>
      </w:pPr>
      <w:r>
        <w:rPr>
          <w:szCs w:val="20"/>
        </w:rPr>
        <w:t>- кофактор полимеразы (хлорид или сульфат магния)</w:t>
      </w:r>
    </w:p>
    <w:p w14:paraId="47E77D2E" w14:textId="67BEE728" w:rsidR="00F02052" w:rsidRDefault="00F02052" w:rsidP="00F02052">
      <w:pPr>
        <w:ind w:left="113" w:hanging="113"/>
        <w:jc w:val="both"/>
        <w:rPr>
          <w:szCs w:val="20"/>
        </w:rPr>
      </w:pPr>
      <w:r>
        <w:rPr>
          <w:szCs w:val="20"/>
        </w:rPr>
        <w:t>- различные компоненты, влияющие на стабильность полимеразы, матрицы, праймеров (ионные и неионные детергенты, спирты и т.д.).</w:t>
      </w:r>
    </w:p>
    <w:p w14:paraId="54501852" w14:textId="21B6E8C3" w:rsidR="00F02052" w:rsidRDefault="00F02052" w:rsidP="00B73567">
      <w:pPr>
        <w:jc w:val="both"/>
        <w:rPr>
          <w:szCs w:val="20"/>
        </w:rPr>
      </w:pPr>
    </w:p>
    <w:p w14:paraId="010C44A7" w14:textId="3E771FAE" w:rsidR="00F02052" w:rsidRPr="00F02052" w:rsidRDefault="00F02052" w:rsidP="00B73567">
      <w:pPr>
        <w:jc w:val="both"/>
        <w:rPr>
          <w:sz w:val="24"/>
          <w:szCs w:val="24"/>
        </w:rPr>
      </w:pPr>
      <w:r w:rsidRPr="00F02052">
        <w:rPr>
          <w:sz w:val="24"/>
          <w:szCs w:val="24"/>
        </w:rPr>
        <w:t>Принцип ПЦР</w:t>
      </w:r>
    </w:p>
    <w:p w14:paraId="7B072C27" w14:textId="5D35BB1E" w:rsidR="00F02052" w:rsidRDefault="00F02052" w:rsidP="00B73567">
      <w:pPr>
        <w:jc w:val="both"/>
        <w:rPr>
          <w:szCs w:val="20"/>
        </w:rPr>
      </w:pPr>
    </w:p>
    <w:p w14:paraId="71585DEA" w14:textId="43A896E5" w:rsidR="00F02052" w:rsidRDefault="00F02052" w:rsidP="00B73567">
      <w:pPr>
        <w:jc w:val="both"/>
        <w:rPr>
          <w:szCs w:val="20"/>
        </w:rPr>
      </w:pPr>
      <w:r>
        <w:rPr>
          <w:szCs w:val="20"/>
        </w:rPr>
        <w:t>Принцип работы ПЦР состоит из трех базовых этапов:</w:t>
      </w:r>
    </w:p>
    <w:p w14:paraId="35B1A13D" w14:textId="52FF031A" w:rsidR="00F02052" w:rsidRDefault="00F02052" w:rsidP="00B73567">
      <w:pPr>
        <w:jc w:val="both"/>
        <w:rPr>
          <w:szCs w:val="20"/>
        </w:rPr>
      </w:pPr>
      <w:r>
        <w:rPr>
          <w:szCs w:val="20"/>
        </w:rPr>
        <w:t>1. денатурация</w:t>
      </w:r>
    </w:p>
    <w:p w14:paraId="15161792" w14:textId="5D8B7590" w:rsidR="00F02052" w:rsidRDefault="00F02052" w:rsidP="00B73567">
      <w:pPr>
        <w:jc w:val="both"/>
        <w:rPr>
          <w:szCs w:val="20"/>
        </w:rPr>
      </w:pPr>
      <w:r>
        <w:rPr>
          <w:szCs w:val="20"/>
        </w:rPr>
        <w:t>2. отжиг праймера</w:t>
      </w:r>
    </w:p>
    <w:p w14:paraId="4A29F8E4" w14:textId="6FBEE692" w:rsidR="00F02052" w:rsidRDefault="00F02052" w:rsidP="00B73567">
      <w:pPr>
        <w:jc w:val="both"/>
        <w:rPr>
          <w:szCs w:val="20"/>
        </w:rPr>
      </w:pPr>
      <w:r>
        <w:rPr>
          <w:szCs w:val="20"/>
        </w:rPr>
        <w:t>3. элонгация</w:t>
      </w:r>
    </w:p>
    <w:p w14:paraId="09A0553F" w14:textId="66F2FC12" w:rsidR="00C049F8" w:rsidRDefault="00C049F8" w:rsidP="00B73567">
      <w:pPr>
        <w:jc w:val="both"/>
        <w:rPr>
          <w:szCs w:val="20"/>
        </w:rPr>
      </w:pPr>
    </w:p>
    <w:p w14:paraId="12BD227F" w14:textId="18B77044" w:rsidR="00C049F8" w:rsidRPr="00C049F8" w:rsidRDefault="00C049F8" w:rsidP="00B73567">
      <w:pPr>
        <w:jc w:val="both"/>
        <w:rPr>
          <w:szCs w:val="20"/>
        </w:rPr>
      </w:pPr>
      <w:r>
        <w:rPr>
          <w:szCs w:val="20"/>
        </w:rPr>
        <w:t xml:space="preserve">Эти этапы повторяются </w:t>
      </w:r>
      <w:r>
        <w:rPr>
          <w:szCs w:val="20"/>
          <w:lang w:val="en-US"/>
        </w:rPr>
        <w:t>N</w:t>
      </w:r>
      <w:r w:rsidRPr="00C049F8">
        <w:rPr>
          <w:szCs w:val="20"/>
        </w:rPr>
        <w:t>-</w:t>
      </w:r>
      <w:r>
        <w:rPr>
          <w:szCs w:val="20"/>
        </w:rPr>
        <w:t>ное количество раз (циклов), обычно от 20 до 50 циклов, в результате чего и происходит многократная наработка конечного продукта. Количество циклов определяется конкретными задачами и условиями ПЦР.</w:t>
      </w:r>
    </w:p>
    <w:p w14:paraId="6D6E10CF" w14:textId="3287D63A" w:rsidR="00F02052" w:rsidRDefault="00F02052" w:rsidP="00B73567">
      <w:pPr>
        <w:jc w:val="both"/>
        <w:rPr>
          <w:szCs w:val="20"/>
        </w:rPr>
      </w:pPr>
    </w:p>
    <w:p w14:paraId="203240D2" w14:textId="48384C16" w:rsidR="00F02052" w:rsidRPr="00F02052" w:rsidRDefault="00F02052" w:rsidP="00B73567">
      <w:pPr>
        <w:jc w:val="both"/>
        <w:rPr>
          <w:b/>
          <w:bCs/>
          <w:szCs w:val="20"/>
        </w:rPr>
      </w:pPr>
      <w:r w:rsidRPr="00F02052">
        <w:rPr>
          <w:b/>
          <w:bCs/>
          <w:szCs w:val="20"/>
        </w:rPr>
        <w:t>Денатурация</w:t>
      </w:r>
    </w:p>
    <w:p w14:paraId="1D731BD4" w14:textId="58B128A1" w:rsidR="00F02052" w:rsidRDefault="00784250" w:rsidP="00B73567">
      <w:pPr>
        <w:jc w:val="both"/>
        <w:rPr>
          <w:szCs w:val="20"/>
        </w:rPr>
      </w:pPr>
      <w:r>
        <w:rPr>
          <w:szCs w:val="20"/>
        </w:rPr>
        <w:t xml:space="preserve">Денатурация </w:t>
      </w:r>
      <w:r w:rsidR="00842EA7">
        <w:rPr>
          <w:szCs w:val="20"/>
        </w:rPr>
        <w:t>(</w:t>
      </w:r>
      <w:r w:rsidR="00842EA7">
        <w:rPr>
          <w:szCs w:val="20"/>
          <w:lang w:val="en-US"/>
        </w:rPr>
        <w:t>Denaturation</w:t>
      </w:r>
      <w:r w:rsidR="00842EA7" w:rsidRPr="00842EA7">
        <w:rPr>
          <w:szCs w:val="20"/>
        </w:rPr>
        <w:t xml:space="preserve">) </w:t>
      </w:r>
      <w:r>
        <w:rPr>
          <w:szCs w:val="20"/>
        </w:rPr>
        <w:t>– это этап, на котором происходит разделение цепей матрицы и отделение ново синтезированной цепи от цепи матрицы. Денатурация может быть термической («классический» ПЦР) и ферментативной (изотермический ПЦР).</w:t>
      </w:r>
    </w:p>
    <w:p w14:paraId="4CAA5AF4" w14:textId="3E702685" w:rsidR="00784250" w:rsidRDefault="00784250" w:rsidP="00B73567">
      <w:pPr>
        <w:jc w:val="both"/>
        <w:rPr>
          <w:szCs w:val="20"/>
        </w:rPr>
      </w:pPr>
    </w:p>
    <w:p w14:paraId="6F829B06" w14:textId="1DB2E14F" w:rsidR="00784250" w:rsidRPr="00784250" w:rsidRDefault="00784250" w:rsidP="00B73567">
      <w:pPr>
        <w:jc w:val="both"/>
        <w:rPr>
          <w:b/>
          <w:bCs/>
          <w:szCs w:val="20"/>
        </w:rPr>
      </w:pPr>
      <w:r w:rsidRPr="00784250">
        <w:rPr>
          <w:b/>
          <w:bCs/>
          <w:szCs w:val="20"/>
        </w:rPr>
        <w:t>Отжиг праймера</w:t>
      </w:r>
    </w:p>
    <w:p w14:paraId="6D52674B" w14:textId="5D5BB245" w:rsidR="00F02052" w:rsidRPr="00BF7717" w:rsidRDefault="00784250" w:rsidP="00B73567">
      <w:pPr>
        <w:jc w:val="both"/>
        <w:rPr>
          <w:szCs w:val="20"/>
          <w:lang w:val="en-US"/>
        </w:rPr>
      </w:pPr>
      <w:r>
        <w:rPr>
          <w:szCs w:val="20"/>
        </w:rPr>
        <w:t xml:space="preserve">Отжиг праймера </w:t>
      </w:r>
      <w:r w:rsidR="00842EA7" w:rsidRPr="00842EA7">
        <w:rPr>
          <w:szCs w:val="20"/>
        </w:rPr>
        <w:t>(</w:t>
      </w:r>
      <w:r w:rsidR="00842EA7">
        <w:rPr>
          <w:szCs w:val="20"/>
          <w:lang w:val="en-US"/>
        </w:rPr>
        <w:t>Annealing</w:t>
      </w:r>
      <w:r w:rsidR="00842EA7" w:rsidRPr="00842EA7">
        <w:rPr>
          <w:szCs w:val="20"/>
        </w:rPr>
        <w:t xml:space="preserve">) </w:t>
      </w:r>
      <w:r>
        <w:rPr>
          <w:szCs w:val="20"/>
        </w:rPr>
        <w:t>– это ситуация, при которой праймер (нуклеотидный зонд) соединяется с комплементарным участком матрицы. Условия отжига могут определяться температурными режимами или контролироваться ферментативно.</w:t>
      </w:r>
    </w:p>
    <w:p w14:paraId="14AD1329" w14:textId="4EC4C105" w:rsidR="00784250" w:rsidRDefault="00784250" w:rsidP="00B73567">
      <w:pPr>
        <w:jc w:val="both"/>
        <w:rPr>
          <w:szCs w:val="20"/>
        </w:rPr>
      </w:pPr>
    </w:p>
    <w:p w14:paraId="6D2DAE56" w14:textId="6FF6BC1F" w:rsidR="00784250" w:rsidRPr="00784250" w:rsidRDefault="00784250" w:rsidP="00B73567">
      <w:pPr>
        <w:jc w:val="both"/>
        <w:rPr>
          <w:b/>
          <w:bCs/>
          <w:szCs w:val="20"/>
        </w:rPr>
      </w:pPr>
      <w:r w:rsidRPr="00784250">
        <w:rPr>
          <w:b/>
          <w:bCs/>
          <w:szCs w:val="20"/>
        </w:rPr>
        <w:t>Элонгация</w:t>
      </w:r>
    </w:p>
    <w:p w14:paraId="63FDA8A9" w14:textId="168ED943" w:rsidR="00B73567" w:rsidRDefault="00842EA7" w:rsidP="00B73567">
      <w:pPr>
        <w:jc w:val="both"/>
        <w:rPr>
          <w:szCs w:val="20"/>
        </w:rPr>
      </w:pPr>
      <w:r>
        <w:rPr>
          <w:szCs w:val="20"/>
        </w:rPr>
        <w:t>Элонгания (</w:t>
      </w:r>
      <w:r>
        <w:rPr>
          <w:szCs w:val="20"/>
          <w:lang w:val="de-DE"/>
        </w:rPr>
        <w:t>Extention</w:t>
      </w:r>
      <w:r>
        <w:rPr>
          <w:szCs w:val="20"/>
        </w:rPr>
        <w:t xml:space="preserve">) </w:t>
      </w:r>
      <w:r>
        <w:rPr>
          <w:szCs w:val="20"/>
        </w:rPr>
        <w:t>–</w:t>
      </w:r>
      <w:r>
        <w:rPr>
          <w:szCs w:val="20"/>
        </w:rPr>
        <w:t xml:space="preserve"> э</w:t>
      </w:r>
      <w:r w:rsidR="00784250">
        <w:rPr>
          <w:szCs w:val="20"/>
        </w:rPr>
        <w:t xml:space="preserve">тап, на котором фермент ДНК полимераза выполняет свою непосредственную работу </w:t>
      </w:r>
      <w:r w:rsidR="00A54387">
        <w:rPr>
          <w:szCs w:val="20"/>
        </w:rPr>
        <w:t>–</w:t>
      </w:r>
      <w:r w:rsidR="00784250">
        <w:rPr>
          <w:szCs w:val="20"/>
        </w:rPr>
        <w:t xml:space="preserve"> </w:t>
      </w:r>
      <w:r w:rsidR="00A54387">
        <w:rPr>
          <w:szCs w:val="20"/>
        </w:rPr>
        <w:t>достраивает комплементарную цепь, используя матрицу и отожженный на ней праймер.</w:t>
      </w:r>
    </w:p>
    <w:p w14:paraId="0E70E260" w14:textId="1BA92890" w:rsidR="00842EA7" w:rsidRDefault="00842EA7" w:rsidP="00B73567">
      <w:pPr>
        <w:jc w:val="both"/>
        <w:rPr>
          <w:szCs w:val="20"/>
        </w:rPr>
      </w:pPr>
    </w:p>
    <w:p w14:paraId="4385CBD1" w14:textId="74834F40" w:rsidR="00842EA7" w:rsidRPr="00842EA7" w:rsidRDefault="00842EA7" w:rsidP="00B73567">
      <w:pPr>
        <w:jc w:val="both"/>
        <w:rPr>
          <w:szCs w:val="20"/>
          <w:lang w:val="en-US"/>
        </w:rPr>
      </w:pPr>
      <w:r>
        <w:rPr>
          <w:noProof/>
          <w:szCs w:val="20"/>
          <w:lang w:val="en-US"/>
        </w:rPr>
        <w:drawing>
          <wp:inline distT="0" distB="0" distL="0" distR="0" wp14:anchorId="6C8444FB" wp14:editId="6BCB63C2">
            <wp:extent cx="5940425" cy="254635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F20C7" w14:textId="55287C3A" w:rsidR="00C049F8" w:rsidRDefault="00842EA7" w:rsidP="00B73567">
      <w:pPr>
        <w:jc w:val="both"/>
        <w:rPr>
          <w:sz w:val="18"/>
          <w:szCs w:val="18"/>
        </w:rPr>
      </w:pPr>
      <w:r w:rsidRPr="00842EA7">
        <w:rPr>
          <w:b/>
          <w:bCs/>
          <w:sz w:val="18"/>
          <w:szCs w:val="18"/>
        </w:rPr>
        <w:t>Рисунок 1</w:t>
      </w:r>
      <w:r w:rsidRPr="00842EA7">
        <w:rPr>
          <w:sz w:val="18"/>
          <w:szCs w:val="18"/>
        </w:rPr>
        <w:t xml:space="preserve">. </w:t>
      </w:r>
      <w:r w:rsidRPr="00842EA7">
        <w:rPr>
          <w:sz w:val="18"/>
          <w:szCs w:val="18"/>
        </w:rPr>
        <w:t>Схематическое изображение полного цикла ПЦР</w:t>
      </w:r>
    </w:p>
    <w:p w14:paraId="0D328FCB" w14:textId="5E6BB386" w:rsidR="00842EA7" w:rsidRPr="00842EA7" w:rsidRDefault="00842EA7" w:rsidP="00B73567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(взято из статьи </w:t>
      </w:r>
      <w:hyperlink r:id="rId16" w:history="1">
        <w:r w:rsidRPr="00842EA7">
          <w:rPr>
            <w:rStyle w:val="Hyperlink"/>
            <w:sz w:val="18"/>
            <w:szCs w:val="18"/>
          </w:rPr>
          <w:t>https://en.wikipedia.org/wiki/Polymerase_chain_reaction</w:t>
        </w:r>
      </w:hyperlink>
      <w:r>
        <w:rPr>
          <w:sz w:val="18"/>
          <w:szCs w:val="18"/>
        </w:rPr>
        <w:t>)</w:t>
      </w:r>
    </w:p>
    <w:p w14:paraId="35F00CD1" w14:textId="77777777" w:rsidR="00842EA7" w:rsidRDefault="00842EA7" w:rsidP="00B73567">
      <w:pPr>
        <w:jc w:val="both"/>
        <w:rPr>
          <w:sz w:val="24"/>
          <w:szCs w:val="24"/>
        </w:rPr>
      </w:pPr>
    </w:p>
    <w:p w14:paraId="7B997466" w14:textId="0BCC4141" w:rsidR="00060D2B" w:rsidRPr="00060D2B" w:rsidRDefault="00060D2B" w:rsidP="00B73567">
      <w:pPr>
        <w:jc w:val="both"/>
        <w:rPr>
          <w:sz w:val="24"/>
          <w:szCs w:val="24"/>
        </w:rPr>
      </w:pPr>
      <w:r w:rsidRPr="00060D2B">
        <w:rPr>
          <w:sz w:val="24"/>
          <w:szCs w:val="24"/>
        </w:rPr>
        <w:t>Типы ПЦР</w:t>
      </w:r>
    </w:p>
    <w:p w14:paraId="6D879696" w14:textId="05A8DF86" w:rsidR="00060D2B" w:rsidRDefault="00060D2B" w:rsidP="00B73567">
      <w:pPr>
        <w:jc w:val="both"/>
        <w:rPr>
          <w:szCs w:val="20"/>
        </w:rPr>
      </w:pPr>
    </w:p>
    <w:p w14:paraId="09A58895" w14:textId="6E6E29E1" w:rsidR="00060D2B" w:rsidRDefault="00060D2B" w:rsidP="00B73567">
      <w:pPr>
        <w:jc w:val="both"/>
        <w:rPr>
          <w:szCs w:val="20"/>
        </w:rPr>
      </w:pPr>
      <w:r>
        <w:rPr>
          <w:szCs w:val="20"/>
        </w:rPr>
        <w:t>Все существующие на сегодняшний день типы ПЦР можно свести в таблицу, приводимую ниже. Используется ли в ПЦР тепловой принцип денатурации, ферментативный или какой-либо другой, не вносит в приводимую классификацию никаких принципиальных изменений.</w:t>
      </w:r>
    </w:p>
    <w:p w14:paraId="1349881E" w14:textId="76C9BB18" w:rsidR="006D1676" w:rsidRDefault="006D1676" w:rsidP="00B73567">
      <w:pPr>
        <w:jc w:val="both"/>
        <w:rPr>
          <w:szCs w:val="20"/>
        </w:rPr>
      </w:pPr>
      <w:r>
        <w:rPr>
          <w:szCs w:val="20"/>
        </w:rPr>
        <w:lastRenderedPageBreak/>
        <w:t>Перечисление типов ПЦР сверху вниз отражает их историческое развитие.</w:t>
      </w:r>
    </w:p>
    <w:p w14:paraId="6CE800B7" w14:textId="77777777" w:rsidR="00060D2B" w:rsidRDefault="00060D2B" w:rsidP="00B73567">
      <w:pPr>
        <w:jc w:val="both"/>
        <w:rPr>
          <w:szCs w:val="20"/>
        </w:rPr>
      </w:pPr>
    </w:p>
    <w:p w14:paraId="127DD3AC" w14:textId="77777777" w:rsidR="00060D2B" w:rsidRPr="00060D2B" w:rsidRDefault="00060D2B" w:rsidP="00B73567">
      <w:pPr>
        <w:jc w:val="both"/>
        <w:rPr>
          <w:sz w:val="18"/>
          <w:szCs w:val="18"/>
        </w:rPr>
      </w:pPr>
      <w:r w:rsidRPr="006D1676">
        <w:rPr>
          <w:b/>
          <w:bCs/>
          <w:sz w:val="18"/>
          <w:szCs w:val="18"/>
        </w:rPr>
        <w:t>Таблица 1</w:t>
      </w:r>
      <w:r w:rsidRPr="00060D2B">
        <w:rPr>
          <w:sz w:val="18"/>
          <w:szCs w:val="18"/>
        </w:rPr>
        <w:t>. Типы ПЦР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2410"/>
        <w:gridCol w:w="2120"/>
      </w:tblGrid>
      <w:tr w:rsidR="00060D2B" w14:paraId="63EE386A" w14:textId="77777777" w:rsidTr="006D1676">
        <w:tc>
          <w:tcPr>
            <w:tcW w:w="1838" w:type="dxa"/>
          </w:tcPr>
          <w:p w14:paraId="048FCD49" w14:textId="32AFDCFF" w:rsidR="00060D2B" w:rsidRPr="00060D2B" w:rsidRDefault="00060D2B" w:rsidP="00060D2B">
            <w:pPr>
              <w:jc w:val="center"/>
              <w:rPr>
                <w:b/>
                <w:bCs/>
                <w:sz w:val="18"/>
                <w:szCs w:val="18"/>
              </w:rPr>
            </w:pPr>
            <w:r w:rsidRPr="00060D2B">
              <w:rPr>
                <w:b/>
                <w:bCs/>
                <w:sz w:val="18"/>
                <w:szCs w:val="18"/>
              </w:rPr>
              <w:t>Применяемый метод</w:t>
            </w:r>
          </w:p>
        </w:tc>
        <w:tc>
          <w:tcPr>
            <w:tcW w:w="2977" w:type="dxa"/>
          </w:tcPr>
          <w:p w14:paraId="1BC31881" w14:textId="69F56A77" w:rsidR="00060D2B" w:rsidRPr="00060D2B" w:rsidRDefault="00B60528" w:rsidP="00060D2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Возможности</w:t>
            </w:r>
          </w:p>
        </w:tc>
        <w:tc>
          <w:tcPr>
            <w:tcW w:w="2410" w:type="dxa"/>
          </w:tcPr>
          <w:p w14:paraId="268FBC12" w14:textId="701951B2" w:rsidR="00060D2B" w:rsidRPr="00060D2B" w:rsidRDefault="00060D2B" w:rsidP="00060D2B">
            <w:pPr>
              <w:jc w:val="center"/>
              <w:rPr>
                <w:b/>
                <w:bCs/>
                <w:sz w:val="18"/>
                <w:szCs w:val="18"/>
              </w:rPr>
            </w:pPr>
            <w:r w:rsidRPr="00060D2B">
              <w:rPr>
                <w:b/>
                <w:bCs/>
                <w:sz w:val="18"/>
                <w:szCs w:val="18"/>
              </w:rPr>
              <w:t>Преимущества</w:t>
            </w:r>
          </w:p>
        </w:tc>
        <w:tc>
          <w:tcPr>
            <w:tcW w:w="2120" w:type="dxa"/>
          </w:tcPr>
          <w:p w14:paraId="732EC2A5" w14:textId="7D61FFA0" w:rsidR="00060D2B" w:rsidRPr="00060D2B" w:rsidRDefault="00060D2B" w:rsidP="00060D2B">
            <w:pPr>
              <w:jc w:val="center"/>
              <w:rPr>
                <w:b/>
                <w:bCs/>
                <w:sz w:val="18"/>
                <w:szCs w:val="18"/>
              </w:rPr>
            </w:pPr>
            <w:r w:rsidRPr="00060D2B">
              <w:rPr>
                <w:b/>
                <w:bCs/>
                <w:sz w:val="18"/>
                <w:szCs w:val="18"/>
              </w:rPr>
              <w:t>Недостатки</w:t>
            </w:r>
          </w:p>
        </w:tc>
      </w:tr>
      <w:tr w:rsidR="00060D2B" w14:paraId="44184CED" w14:textId="77777777" w:rsidTr="006D1676">
        <w:tc>
          <w:tcPr>
            <w:tcW w:w="1838" w:type="dxa"/>
          </w:tcPr>
          <w:p w14:paraId="44F719BE" w14:textId="0F5DA5A6" w:rsidR="00060D2B" w:rsidRPr="00B60528" w:rsidRDefault="00060D2B" w:rsidP="006D1676">
            <w:pPr>
              <w:rPr>
                <w:sz w:val="18"/>
                <w:szCs w:val="18"/>
              </w:rPr>
            </w:pPr>
            <w:r w:rsidRPr="00B60528">
              <w:rPr>
                <w:sz w:val="18"/>
                <w:szCs w:val="18"/>
              </w:rPr>
              <w:t>Стандартный</w:t>
            </w:r>
            <w:r w:rsidR="009B7414">
              <w:rPr>
                <w:sz w:val="18"/>
                <w:szCs w:val="18"/>
              </w:rPr>
              <w:t xml:space="preserve"> ПЦР</w:t>
            </w:r>
          </w:p>
        </w:tc>
        <w:tc>
          <w:tcPr>
            <w:tcW w:w="2977" w:type="dxa"/>
          </w:tcPr>
          <w:p w14:paraId="56A362B1" w14:textId="2B4E4BA6" w:rsidR="00060D2B" w:rsidRPr="00B60528" w:rsidRDefault="00B60528" w:rsidP="006D1676">
            <w:pPr>
              <w:rPr>
                <w:sz w:val="18"/>
                <w:szCs w:val="18"/>
              </w:rPr>
            </w:pPr>
            <w:r w:rsidRPr="00B60528">
              <w:rPr>
                <w:sz w:val="18"/>
                <w:szCs w:val="18"/>
              </w:rPr>
              <w:t>Выявление искомой последовательности или ее отсутствия</w:t>
            </w:r>
          </w:p>
        </w:tc>
        <w:tc>
          <w:tcPr>
            <w:tcW w:w="2410" w:type="dxa"/>
          </w:tcPr>
          <w:p w14:paraId="550E03E1" w14:textId="252334A5" w:rsidR="00060D2B" w:rsidRPr="00B60528" w:rsidRDefault="00B60528" w:rsidP="006D1676">
            <w:pPr>
              <w:rPr>
                <w:sz w:val="18"/>
                <w:szCs w:val="18"/>
              </w:rPr>
            </w:pPr>
            <w:r w:rsidRPr="00B60528">
              <w:rPr>
                <w:sz w:val="18"/>
                <w:szCs w:val="18"/>
              </w:rPr>
              <w:t>Минимальный набор реактивов и оборудования, минимальные финансовые затраты</w:t>
            </w:r>
          </w:p>
        </w:tc>
        <w:tc>
          <w:tcPr>
            <w:tcW w:w="2120" w:type="dxa"/>
          </w:tcPr>
          <w:p w14:paraId="15B7B7F1" w14:textId="31AE7792" w:rsidR="00060D2B" w:rsidRPr="00B60528" w:rsidRDefault="00B60528" w:rsidP="006D1676">
            <w:pPr>
              <w:rPr>
                <w:sz w:val="18"/>
                <w:szCs w:val="18"/>
              </w:rPr>
            </w:pPr>
            <w:r w:rsidRPr="00B60528">
              <w:rPr>
                <w:sz w:val="18"/>
                <w:szCs w:val="18"/>
              </w:rPr>
              <w:t>Определение только после завершения процедуры (по конечной точке)</w:t>
            </w:r>
          </w:p>
        </w:tc>
      </w:tr>
      <w:tr w:rsidR="00060D2B" w14:paraId="06830842" w14:textId="77777777" w:rsidTr="006D1676">
        <w:tc>
          <w:tcPr>
            <w:tcW w:w="1838" w:type="dxa"/>
          </w:tcPr>
          <w:p w14:paraId="10D298E8" w14:textId="77777777" w:rsidR="006D1676" w:rsidRDefault="00B60528" w:rsidP="006D1676">
            <w:pPr>
              <w:rPr>
                <w:sz w:val="18"/>
                <w:szCs w:val="18"/>
              </w:rPr>
            </w:pPr>
            <w:r w:rsidRPr="00B60528">
              <w:rPr>
                <w:sz w:val="18"/>
                <w:szCs w:val="18"/>
              </w:rPr>
              <w:t xml:space="preserve">ПЦР в реальном времени </w:t>
            </w:r>
          </w:p>
          <w:p w14:paraId="734BF8A9" w14:textId="74197CB8" w:rsidR="00060D2B" w:rsidRPr="00B60528" w:rsidRDefault="00B60528" w:rsidP="006D1676">
            <w:pPr>
              <w:rPr>
                <w:sz w:val="18"/>
                <w:szCs w:val="18"/>
              </w:rPr>
            </w:pPr>
            <w:r w:rsidRPr="00B60528">
              <w:rPr>
                <w:sz w:val="18"/>
                <w:szCs w:val="18"/>
              </w:rPr>
              <w:t>(</w:t>
            </w:r>
            <w:r w:rsidRPr="00B60528">
              <w:rPr>
                <w:sz w:val="18"/>
                <w:szCs w:val="18"/>
                <w:lang w:val="en-US"/>
              </w:rPr>
              <w:t>real</w:t>
            </w:r>
            <w:r w:rsidRPr="00B60528">
              <w:rPr>
                <w:sz w:val="18"/>
                <w:szCs w:val="18"/>
              </w:rPr>
              <w:t>-</w:t>
            </w:r>
            <w:r w:rsidRPr="00B60528">
              <w:rPr>
                <w:sz w:val="18"/>
                <w:szCs w:val="18"/>
                <w:lang w:val="en-US"/>
              </w:rPr>
              <w:t>time</w:t>
            </w:r>
            <w:r w:rsidRPr="00B60528">
              <w:rPr>
                <w:sz w:val="18"/>
                <w:szCs w:val="18"/>
              </w:rPr>
              <w:t xml:space="preserve"> </w:t>
            </w:r>
            <w:r w:rsidRPr="00B60528">
              <w:rPr>
                <w:sz w:val="18"/>
                <w:szCs w:val="18"/>
                <w:lang w:val="en-US"/>
              </w:rPr>
              <w:t>PC</w:t>
            </w:r>
            <w:r>
              <w:rPr>
                <w:sz w:val="18"/>
                <w:szCs w:val="18"/>
                <w:lang w:val="en-US"/>
              </w:rPr>
              <w:t>R</w:t>
            </w:r>
            <w:r w:rsidRPr="00B60528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14:paraId="448F600F" w14:textId="05A84931" w:rsidR="00060D2B" w:rsidRPr="006E7889" w:rsidRDefault="006E7889" w:rsidP="006D1676">
            <w:pPr>
              <w:rPr>
                <w:sz w:val="18"/>
                <w:szCs w:val="18"/>
              </w:rPr>
            </w:pPr>
            <w:r w:rsidRPr="00B60528">
              <w:rPr>
                <w:sz w:val="18"/>
                <w:szCs w:val="18"/>
              </w:rPr>
              <w:t>Выявление искомой последовательности или ее отсутствия</w:t>
            </w:r>
            <w:r w:rsidRPr="006E788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одновременно в большом количестве образцов </w:t>
            </w:r>
          </w:p>
        </w:tc>
        <w:tc>
          <w:tcPr>
            <w:tcW w:w="2410" w:type="dxa"/>
          </w:tcPr>
          <w:p w14:paraId="4B64F23F" w14:textId="56589C27" w:rsidR="00060D2B" w:rsidRPr="00B60528" w:rsidRDefault="006E7889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Возможность получения количественного результата</w:t>
            </w:r>
          </w:p>
        </w:tc>
        <w:tc>
          <w:tcPr>
            <w:tcW w:w="2120" w:type="dxa"/>
          </w:tcPr>
          <w:p w14:paraId="7AAE29B5" w14:textId="23EB4EB4" w:rsidR="00060D2B" w:rsidRPr="00B60528" w:rsidRDefault="006E7889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Требуется специальное оборудование</w:t>
            </w:r>
          </w:p>
        </w:tc>
      </w:tr>
      <w:tr w:rsidR="006D1676" w14:paraId="44EBE960" w14:textId="77777777" w:rsidTr="006D1676">
        <w:tc>
          <w:tcPr>
            <w:tcW w:w="1838" w:type="dxa"/>
          </w:tcPr>
          <w:p w14:paraId="4FA0168D" w14:textId="77777777" w:rsidR="006D1676" w:rsidRDefault="006D1676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Матричная технология </w:t>
            </w:r>
          </w:p>
          <w:p w14:paraId="4B8E122A" w14:textId="77777777" w:rsidR="006D1676" w:rsidRPr="006E7889" w:rsidRDefault="006D1676" w:rsidP="006D1676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  <w:lang w:val="en-US"/>
              </w:rPr>
              <w:t>PCR array)</w:t>
            </w:r>
          </w:p>
        </w:tc>
        <w:tc>
          <w:tcPr>
            <w:tcW w:w="2977" w:type="dxa"/>
          </w:tcPr>
          <w:p w14:paraId="245BA12A" w14:textId="77777777" w:rsidR="006D1676" w:rsidRPr="009B7414" w:rsidRDefault="006D1676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Одновременная оценка большого количества полученных ПЦР продуктов</w:t>
            </w:r>
          </w:p>
        </w:tc>
        <w:tc>
          <w:tcPr>
            <w:tcW w:w="2410" w:type="dxa"/>
          </w:tcPr>
          <w:p w14:paraId="6A427BCE" w14:textId="77777777" w:rsidR="006D1676" w:rsidRPr="00B60528" w:rsidRDefault="006D1676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Возможность получения количественного результата, оценка профиля экспрессии генов</w:t>
            </w:r>
          </w:p>
        </w:tc>
        <w:tc>
          <w:tcPr>
            <w:tcW w:w="2120" w:type="dxa"/>
          </w:tcPr>
          <w:p w14:paraId="13948CD8" w14:textId="77777777" w:rsidR="006D1676" w:rsidRPr="00B60528" w:rsidRDefault="006D1676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Требуется достаточно сложное специальное оборудование</w:t>
            </w:r>
          </w:p>
        </w:tc>
      </w:tr>
      <w:tr w:rsidR="00060D2B" w14:paraId="0492A2DC" w14:textId="77777777" w:rsidTr="006D1676">
        <w:tc>
          <w:tcPr>
            <w:tcW w:w="1838" w:type="dxa"/>
          </w:tcPr>
          <w:p w14:paraId="73E8DA91" w14:textId="3DFE8FD8" w:rsidR="006E7889" w:rsidRDefault="006D1676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Микрофлуидная чиповая</w:t>
            </w:r>
            <w:r w:rsidR="006E7889">
              <w:rPr>
                <w:sz w:val="18"/>
                <w:szCs w:val="18"/>
              </w:rPr>
              <w:t xml:space="preserve"> технология </w:t>
            </w:r>
          </w:p>
          <w:p w14:paraId="6BE0770F" w14:textId="0ED98634" w:rsidR="00060D2B" w:rsidRPr="006D1676" w:rsidRDefault="006E7889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6D1676">
              <w:rPr>
                <w:sz w:val="18"/>
                <w:szCs w:val="18"/>
                <w:lang w:val="de-DE"/>
              </w:rPr>
              <w:t>Microfluidic chip</w:t>
            </w:r>
            <w:r w:rsidRPr="006D1676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14:paraId="1D44654D" w14:textId="100E69C1" w:rsidR="00060D2B" w:rsidRPr="006D1676" w:rsidRDefault="006D1676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Оперативное в</w:t>
            </w:r>
            <w:r w:rsidRPr="00B60528">
              <w:rPr>
                <w:sz w:val="18"/>
                <w:szCs w:val="18"/>
              </w:rPr>
              <w:t>ыявление искомой последовательности или ее отсутствия</w:t>
            </w:r>
          </w:p>
        </w:tc>
        <w:tc>
          <w:tcPr>
            <w:tcW w:w="2410" w:type="dxa"/>
          </w:tcPr>
          <w:p w14:paraId="63EEEF58" w14:textId="757964A8" w:rsidR="00060D2B" w:rsidRPr="00B60528" w:rsidRDefault="006D1676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Быстрое получение результата на месте без сложного лабораторного оборудования</w:t>
            </w:r>
          </w:p>
        </w:tc>
        <w:tc>
          <w:tcPr>
            <w:tcW w:w="2120" w:type="dxa"/>
          </w:tcPr>
          <w:p w14:paraId="606101E5" w14:textId="02360BC5" w:rsidR="00060D2B" w:rsidRPr="00B60528" w:rsidRDefault="009B7414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Требуется достаточно </w:t>
            </w:r>
            <w:r w:rsidR="006D1676">
              <w:rPr>
                <w:sz w:val="18"/>
                <w:szCs w:val="18"/>
              </w:rPr>
              <w:t>дорогое</w:t>
            </w:r>
            <w:r>
              <w:rPr>
                <w:sz w:val="18"/>
                <w:szCs w:val="18"/>
              </w:rPr>
              <w:t xml:space="preserve"> </w:t>
            </w:r>
            <w:r w:rsidR="006D1676">
              <w:rPr>
                <w:sz w:val="18"/>
                <w:szCs w:val="18"/>
              </w:rPr>
              <w:t>и с</w:t>
            </w:r>
            <w:r>
              <w:rPr>
                <w:sz w:val="18"/>
                <w:szCs w:val="18"/>
              </w:rPr>
              <w:t>пециал</w:t>
            </w:r>
            <w:r w:rsidR="006D1676">
              <w:rPr>
                <w:sz w:val="18"/>
                <w:szCs w:val="18"/>
              </w:rPr>
              <w:t>изированное</w:t>
            </w:r>
            <w:r>
              <w:rPr>
                <w:sz w:val="18"/>
                <w:szCs w:val="18"/>
              </w:rPr>
              <w:t xml:space="preserve"> оборудование</w:t>
            </w:r>
          </w:p>
        </w:tc>
      </w:tr>
      <w:tr w:rsidR="00060D2B" w14:paraId="716114A8" w14:textId="77777777" w:rsidTr="006D1676">
        <w:tc>
          <w:tcPr>
            <w:tcW w:w="1838" w:type="dxa"/>
          </w:tcPr>
          <w:p w14:paraId="2312A71E" w14:textId="77777777" w:rsidR="00060D2B" w:rsidRDefault="009B7414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Цифровой капельный ПЦР</w:t>
            </w:r>
          </w:p>
          <w:p w14:paraId="087E7E48" w14:textId="7516E4EB" w:rsidR="009B7414" w:rsidRPr="006D1676" w:rsidRDefault="009B7414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  <w:lang w:val="de-DE"/>
              </w:rPr>
              <w:t>drop</w:t>
            </w:r>
            <w:r w:rsidRPr="006D167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de-DE"/>
              </w:rPr>
              <w:t>digital</w:t>
            </w:r>
            <w:r w:rsidRPr="006D167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de-DE"/>
              </w:rPr>
              <w:t>PCR</w:t>
            </w:r>
            <w:r w:rsidRPr="006D1676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14:paraId="77BF5802" w14:textId="52196C26" w:rsidR="00060D2B" w:rsidRPr="009B7414" w:rsidRDefault="009B7414" w:rsidP="006D1676">
            <w:pPr>
              <w:rPr>
                <w:sz w:val="18"/>
                <w:szCs w:val="18"/>
              </w:rPr>
            </w:pPr>
            <w:r w:rsidRPr="00B60528">
              <w:rPr>
                <w:sz w:val="18"/>
                <w:szCs w:val="18"/>
              </w:rPr>
              <w:t xml:space="preserve">Выявление искомой последовательности </w:t>
            </w:r>
            <w:r>
              <w:rPr>
                <w:sz w:val="18"/>
                <w:szCs w:val="18"/>
              </w:rPr>
              <w:t>с очень низкой копийностью с возможностью точного определения числа копий</w:t>
            </w:r>
          </w:p>
        </w:tc>
        <w:tc>
          <w:tcPr>
            <w:tcW w:w="2410" w:type="dxa"/>
          </w:tcPr>
          <w:p w14:paraId="02A04C5A" w14:textId="247F7D1E" w:rsidR="00060D2B" w:rsidRPr="00B60528" w:rsidRDefault="009B7414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Возможность получения абсолютного количественного результата</w:t>
            </w:r>
          </w:p>
        </w:tc>
        <w:tc>
          <w:tcPr>
            <w:tcW w:w="2120" w:type="dxa"/>
          </w:tcPr>
          <w:p w14:paraId="5A9DC37A" w14:textId="72A40BDB" w:rsidR="00060D2B" w:rsidRPr="00B60528" w:rsidRDefault="009B7414" w:rsidP="006D1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Требуется сложное и дорогое специальное оборудование</w:t>
            </w:r>
          </w:p>
        </w:tc>
      </w:tr>
    </w:tbl>
    <w:p w14:paraId="06261E5C" w14:textId="1E083E22" w:rsidR="00060D2B" w:rsidRDefault="00060D2B" w:rsidP="00B73567">
      <w:pPr>
        <w:jc w:val="both"/>
        <w:rPr>
          <w:szCs w:val="20"/>
        </w:rPr>
      </w:pPr>
    </w:p>
    <w:p w14:paraId="3D447019" w14:textId="7D7388EA" w:rsidR="006D1676" w:rsidRDefault="006D1676" w:rsidP="00B73567">
      <w:pPr>
        <w:jc w:val="both"/>
        <w:rPr>
          <w:szCs w:val="20"/>
        </w:rPr>
      </w:pPr>
      <w:r>
        <w:rPr>
          <w:szCs w:val="20"/>
        </w:rPr>
        <w:t>Цифровой капельный ПЦР можно считать верхней ступенью развития.</w:t>
      </w:r>
    </w:p>
    <w:p w14:paraId="192D6C28" w14:textId="14A4791D" w:rsidR="006D1676" w:rsidRDefault="006D1676" w:rsidP="00B73567">
      <w:pPr>
        <w:jc w:val="both"/>
        <w:rPr>
          <w:szCs w:val="20"/>
        </w:rPr>
      </w:pPr>
    </w:p>
    <w:p w14:paraId="04C71073" w14:textId="5034CE63" w:rsidR="008761D9" w:rsidRDefault="008761D9" w:rsidP="00B73567">
      <w:pPr>
        <w:jc w:val="both"/>
        <w:rPr>
          <w:szCs w:val="20"/>
        </w:rPr>
      </w:pPr>
    </w:p>
    <w:p w14:paraId="14DE9385" w14:textId="4F5EDAA9" w:rsidR="008761D9" w:rsidRDefault="008761D9" w:rsidP="00B73567">
      <w:pPr>
        <w:jc w:val="both"/>
        <w:rPr>
          <w:szCs w:val="20"/>
        </w:rPr>
      </w:pPr>
      <w:r>
        <w:rPr>
          <w:szCs w:val="20"/>
        </w:rPr>
        <w:object w:dxaOrig="7215" w:dyaOrig="5395" w14:anchorId="3F522C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4pt;height:334.6pt" o:ole="">
            <v:imagedata r:id="rId17" o:title=""/>
          </v:shape>
          <o:OLEObject Type="Embed" ProgID="PowerPoint.Slide.12" ShapeID="_x0000_i1025" DrawAspect="Content" ObjectID="_1680973886" r:id="rId18"/>
        </w:object>
      </w:r>
    </w:p>
    <w:p w14:paraId="305C639C" w14:textId="63661DBA" w:rsidR="008761D9" w:rsidRDefault="008761D9" w:rsidP="00B73567">
      <w:pPr>
        <w:jc w:val="both"/>
        <w:rPr>
          <w:szCs w:val="20"/>
        </w:rPr>
      </w:pPr>
    </w:p>
    <w:p w14:paraId="5F8F6267" w14:textId="7C41DC01" w:rsidR="008761D9" w:rsidRPr="008761D9" w:rsidRDefault="008761D9" w:rsidP="00B73567">
      <w:pPr>
        <w:jc w:val="both"/>
        <w:rPr>
          <w:sz w:val="18"/>
          <w:szCs w:val="18"/>
        </w:rPr>
      </w:pPr>
      <w:r w:rsidRPr="008761D9">
        <w:rPr>
          <w:b/>
          <w:bCs/>
          <w:sz w:val="18"/>
          <w:szCs w:val="18"/>
        </w:rPr>
        <w:t>Рисунок 2</w:t>
      </w:r>
      <w:r w:rsidRPr="008761D9">
        <w:rPr>
          <w:sz w:val="18"/>
          <w:szCs w:val="18"/>
        </w:rPr>
        <w:t>. Возможности цифрового ПЦР</w:t>
      </w:r>
    </w:p>
    <w:p w14:paraId="2A20D5A1" w14:textId="48B0563B" w:rsidR="008761D9" w:rsidRDefault="008761D9" w:rsidP="00B73567">
      <w:pPr>
        <w:jc w:val="both"/>
        <w:rPr>
          <w:szCs w:val="20"/>
        </w:rPr>
      </w:pPr>
    </w:p>
    <w:p w14:paraId="2FE8FFFC" w14:textId="18B12544" w:rsidR="008761D9" w:rsidRDefault="008761D9" w:rsidP="00B73567">
      <w:pPr>
        <w:jc w:val="both"/>
        <w:rPr>
          <w:szCs w:val="20"/>
        </w:rPr>
      </w:pPr>
    </w:p>
    <w:p w14:paraId="5EEF5673" w14:textId="1ED47530" w:rsidR="008761D9" w:rsidRDefault="008761D9" w:rsidP="00B73567">
      <w:pPr>
        <w:jc w:val="both"/>
        <w:rPr>
          <w:szCs w:val="20"/>
        </w:rPr>
      </w:pPr>
    </w:p>
    <w:p w14:paraId="57A06C22" w14:textId="406128F2" w:rsidR="008761D9" w:rsidRDefault="008761D9" w:rsidP="00B73567">
      <w:pPr>
        <w:jc w:val="both"/>
        <w:rPr>
          <w:szCs w:val="20"/>
        </w:rPr>
      </w:pPr>
    </w:p>
    <w:p w14:paraId="2C9BF3C1" w14:textId="5650397C" w:rsidR="000E19B7" w:rsidRPr="000E19B7" w:rsidRDefault="000E19B7" w:rsidP="00B73567">
      <w:pPr>
        <w:jc w:val="both"/>
        <w:rPr>
          <w:sz w:val="24"/>
          <w:szCs w:val="24"/>
        </w:rPr>
      </w:pPr>
      <w:r w:rsidRPr="000E19B7">
        <w:rPr>
          <w:sz w:val="24"/>
          <w:szCs w:val="24"/>
        </w:rPr>
        <w:lastRenderedPageBreak/>
        <w:t>Типичные проблемы ПЦР</w:t>
      </w:r>
    </w:p>
    <w:p w14:paraId="5EBA2229" w14:textId="25BD701D" w:rsidR="000E19B7" w:rsidRDefault="000E19B7" w:rsidP="00B73567">
      <w:pPr>
        <w:jc w:val="both"/>
        <w:rPr>
          <w:szCs w:val="20"/>
        </w:rPr>
      </w:pPr>
    </w:p>
    <w:p w14:paraId="6F82CD9E" w14:textId="2E3E3768" w:rsidR="000E19B7" w:rsidRDefault="000E19B7" w:rsidP="00B73567">
      <w:pPr>
        <w:jc w:val="both"/>
        <w:rPr>
          <w:szCs w:val="20"/>
        </w:rPr>
      </w:pPr>
      <w:r>
        <w:rPr>
          <w:szCs w:val="20"/>
        </w:rPr>
        <w:t>Несмотря на большие возможности, который дает ПЦР, исследователи регулярно сталкиваются с одними и теми же проблемами, которые приводят к ошибкам и неверной интерпретации получаемых результатов.</w:t>
      </w:r>
    </w:p>
    <w:p w14:paraId="23E063BB" w14:textId="1AB1101E" w:rsidR="008757E8" w:rsidRDefault="008757E8" w:rsidP="00B73567">
      <w:pPr>
        <w:jc w:val="both"/>
        <w:rPr>
          <w:szCs w:val="20"/>
        </w:rPr>
      </w:pPr>
      <w:r>
        <w:rPr>
          <w:szCs w:val="20"/>
        </w:rPr>
        <w:t>Очень важно научиться понимать, что может быть источником ошибок, вовремя их избегать и уметь предвидеть источник их происхождения.</w:t>
      </w:r>
    </w:p>
    <w:p w14:paraId="4120B912" w14:textId="77777777" w:rsidR="008757E8" w:rsidRDefault="008757E8" w:rsidP="00B73567">
      <w:pPr>
        <w:jc w:val="both"/>
        <w:rPr>
          <w:szCs w:val="20"/>
        </w:rPr>
      </w:pPr>
    </w:p>
    <w:p w14:paraId="61F56430" w14:textId="76D48F79" w:rsidR="008757E8" w:rsidRDefault="008757E8" w:rsidP="00B73567">
      <w:pPr>
        <w:jc w:val="both"/>
        <w:rPr>
          <w:szCs w:val="20"/>
        </w:rPr>
      </w:pPr>
      <w:r>
        <w:rPr>
          <w:noProof/>
          <w:szCs w:val="20"/>
        </w:rPr>
        <w:drawing>
          <wp:inline distT="0" distB="0" distL="0" distR="0" wp14:anchorId="53910A4B" wp14:editId="106E77D1">
            <wp:extent cx="5940425" cy="303403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FE0D" w14:textId="3D76CA61" w:rsidR="008757E8" w:rsidRPr="00082DAE" w:rsidRDefault="008757E8" w:rsidP="008757E8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sz w:val="18"/>
          <w:szCs w:val="18"/>
          <w:lang w:val="en-US"/>
        </w:rPr>
      </w:pPr>
      <w:r w:rsidRPr="008757E8">
        <w:rPr>
          <w:rFonts w:asciiTheme="majorHAnsi" w:hAnsiTheme="majorHAnsi" w:cstheme="majorHAnsi"/>
          <w:sz w:val="18"/>
          <w:szCs w:val="18"/>
        </w:rPr>
        <w:t>Рисунок 3</w:t>
      </w:r>
      <w:r w:rsidRPr="008757E8">
        <w:rPr>
          <w:rFonts w:asciiTheme="majorHAnsi" w:hAnsiTheme="majorHAnsi" w:cstheme="majorHAnsi"/>
          <w:b w:val="0"/>
          <w:bCs w:val="0"/>
          <w:sz w:val="18"/>
          <w:szCs w:val="18"/>
        </w:rPr>
        <w:t xml:space="preserve">. </w:t>
      </w:r>
      <w:r>
        <w:rPr>
          <w:rFonts w:asciiTheme="majorHAnsi" w:hAnsiTheme="majorHAnsi" w:cstheme="majorHAnsi"/>
          <w:b w:val="0"/>
          <w:bCs w:val="0"/>
          <w:sz w:val="18"/>
          <w:szCs w:val="18"/>
        </w:rPr>
        <w:t>Как</w:t>
      </w:r>
      <w:r w:rsidRPr="00082DAE">
        <w:rPr>
          <w:rFonts w:asciiTheme="majorHAnsi" w:hAnsiTheme="majorHAnsi" w:cstheme="majorHAnsi"/>
          <w:b w:val="0"/>
          <w:bCs w:val="0"/>
          <w:sz w:val="18"/>
          <w:szCs w:val="18"/>
          <w:lang w:val="en-US"/>
        </w:rPr>
        <w:t xml:space="preserve"> </w:t>
      </w:r>
      <w:r>
        <w:rPr>
          <w:rFonts w:asciiTheme="majorHAnsi" w:hAnsiTheme="majorHAnsi" w:cstheme="majorHAnsi"/>
          <w:b w:val="0"/>
          <w:bCs w:val="0"/>
          <w:sz w:val="18"/>
          <w:szCs w:val="18"/>
        </w:rPr>
        <w:t>наука</w:t>
      </w:r>
      <w:r w:rsidRPr="00082DAE">
        <w:rPr>
          <w:rFonts w:asciiTheme="majorHAnsi" w:hAnsiTheme="majorHAnsi" w:cstheme="majorHAnsi"/>
          <w:b w:val="0"/>
          <w:bCs w:val="0"/>
          <w:sz w:val="18"/>
          <w:szCs w:val="18"/>
          <w:lang w:val="en-US"/>
        </w:rPr>
        <w:t xml:space="preserve"> </w:t>
      </w:r>
      <w:r>
        <w:rPr>
          <w:rFonts w:asciiTheme="majorHAnsi" w:hAnsiTheme="majorHAnsi" w:cstheme="majorHAnsi"/>
          <w:b w:val="0"/>
          <w:bCs w:val="0"/>
          <w:sz w:val="18"/>
          <w:szCs w:val="18"/>
        </w:rPr>
        <w:t>учится</w:t>
      </w:r>
      <w:r w:rsidRPr="00082DAE">
        <w:rPr>
          <w:rFonts w:asciiTheme="majorHAnsi" w:hAnsiTheme="majorHAnsi" w:cstheme="majorHAnsi"/>
          <w:b w:val="0"/>
          <w:bCs w:val="0"/>
          <w:sz w:val="18"/>
          <w:szCs w:val="18"/>
          <w:lang w:val="en-US"/>
        </w:rPr>
        <w:t xml:space="preserve"> </w:t>
      </w:r>
      <w:r>
        <w:rPr>
          <w:rFonts w:asciiTheme="majorHAnsi" w:hAnsiTheme="majorHAnsi" w:cstheme="majorHAnsi"/>
          <w:b w:val="0"/>
          <w:bCs w:val="0"/>
          <w:sz w:val="18"/>
          <w:szCs w:val="18"/>
        </w:rPr>
        <w:t>признавать</w:t>
      </w:r>
      <w:r w:rsidRPr="00082DAE">
        <w:rPr>
          <w:rFonts w:asciiTheme="majorHAnsi" w:hAnsiTheme="majorHAnsi" w:cstheme="majorHAnsi"/>
          <w:b w:val="0"/>
          <w:bCs w:val="0"/>
          <w:sz w:val="18"/>
          <w:szCs w:val="18"/>
          <w:lang w:val="en-US"/>
        </w:rPr>
        <w:t xml:space="preserve"> </w:t>
      </w:r>
      <w:r>
        <w:rPr>
          <w:rFonts w:asciiTheme="majorHAnsi" w:hAnsiTheme="majorHAnsi" w:cstheme="majorHAnsi"/>
          <w:b w:val="0"/>
          <w:bCs w:val="0"/>
          <w:sz w:val="18"/>
          <w:szCs w:val="18"/>
        </w:rPr>
        <w:t>ошибки</w:t>
      </w:r>
    </w:p>
    <w:p w14:paraId="58CDB120" w14:textId="62D9D97A" w:rsidR="008757E8" w:rsidRDefault="008757E8" w:rsidP="008757E8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sz w:val="18"/>
          <w:szCs w:val="18"/>
          <w:lang w:val="en-US"/>
        </w:rPr>
      </w:pPr>
      <w:r w:rsidRPr="008757E8">
        <w:rPr>
          <w:rFonts w:asciiTheme="majorHAnsi" w:hAnsiTheme="majorHAnsi" w:cstheme="majorHAnsi"/>
          <w:b w:val="0"/>
          <w:bCs w:val="0"/>
          <w:sz w:val="18"/>
          <w:szCs w:val="18"/>
          <w:lang w:val="en-US"/>
        </w:rPr>
        <w:t>(</w:t>
      </w:r>
      <w:r w:rsidRPr="008757E8">
        <w:rPr>
          <w:rFonts w:asciiTheme="majorHAnsi" w:hAnsiTheme="majorHAnsi" w:cstheme="majorHAnsi"/>
          <w:b w:val="0"/>
          <w:bCs w:val="0"/>
          <w:color w:val="35353E"/>
          <w:spacing w:val="5"/>
          <w:sz w:val="18"/>
          <w:szCs w:val="18"/>
          <w:lang w:val="en-US"/>
        </w:rPr>
        <w:t>How Science Is Learning to Admit Mistakes</w:t>
      </w:r>
      <w:r w:rsidRPr="008757E8">
        <w:rPr>
          <w:rFonts w:asciiTheme="majorHAnsi" w:hAnsiTheme="majorHAnsi" w:cstheme="majorHAnsi"/>
          <w:b w:val="0"/>
          <w:bCs w:val="0"/>
          <w:color w:val="35353E"/>
          <w:spacing w:val="5"/>
          <w:sz w:val="18"/>
          <w:szCs w:val="18"/>
          <w:lang w:val="en-US"/>
        </w:rPr>
        <w:t xml:space="preserve">, </w:t>
      </w:r>
      <w:hyperlink r:id="rId20" w:history="1">
        <w:r w:rsidRPr="008757E8">
          <w:rPr>
            <w:rStyle w:val="Hyperlink"/>
            <w:rFonts w:asciiTheme="majorHAnsi" w:hAnsiTheme="majorHAnsi" w:cstheme="majorHAnsi"/>
            <w:b w:val="0"/>
            <w:bCs w:val="0"/>
            <w:sz w:val="18"/>
            <w:szCs w:val="18"/>
            <w:lang w:val="en-US"/>
          </w:rPr>
          <w:t>https://www.freethink.com/articles/admitting-mistakes</w:t>
        </w:r>
      </w:hyperlink>
      <w:r w:rsidRPr="008757E8">
        <w:rPr>
          <w:rFonts w:asciiTheme="majorHAnsi" w:hAnsiTheme="majorHAnsi" w:cstheme="majorHAnsi"/>
          <w:b w:val="0"/>
          <w:bCs w:val="0"/>
          <w:sz w:val="18"/>
          <w:szCs w:val="18"/>
          <w:lang w:val="en-US"/>
        </w:rPr>
        <w:t>)</w:t>
      </w:r>
    </w:p>
    <w:p w14:paraId="0527CEE7" w14:textId="77777777" w:rsidR="008757E8" w:rsidRPr="008757E8" w:rsidRDefault="008757E8" w:rsidP="008757E8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sz w:val="20"/>
          <w:szCs w:val="20"/>
          <w:lang w:val="en-US"/>
        </w:rPr>
      </w:pPr>
    </w:p>
    <w:p w14:paraId="0B0BD804" w14:textId="470AD204" w:rsidR="000E19B7" w:rsidRPr="008757E8" w:rsidRDefault="000E19B7" w:rsidP="008757E8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sz w:val="20"/>
          <w:szCs w:val="20"/>
          <w:lang w:val="en-US"/>
        </w:rPr>
      </w:pPr>
      <w:r w:rsidRPr="008757E8">
        <w:rPr>
          <w:rFonts w:asciiTheme="majorHAnsi" w:hAnsiTheme="majorHAnsi" w:cstheme="majorHAnsi"/>
          <w:sz w:val="20"/>
          <w:szCs w:val="20"/>
        </w:rPr>
        <w:t>Оборудование</w:t>
      </w:r>
    </w:p>
    <w:p w14:paraId="007D0CA7" w14:textId="7FEF3B61" w:rsidR="000E19B7" w:rsidRDefault="000E19B7" w:rsidP="00B73567">
      <w:pPr>
        <w:jc w:val="both"/>
        <w:rPr>
          <w:szCs w:val="20"/>
        </w:rPr>
      </w:pPr>
      <w:r>
        <w:rPr>
          <w:szCs w:val="20"/>
        </w:rPr>
        <w:t>Оборудование включает в себя приборы (амплификатор, другое оборудование для проведения ПЦР, электрофорез и т.п.), пластик (наконечники, пробирки), пипетки.</w:t>
      </w:r>
    </w:p>
    <w:p w14:paraId="17C60721" w14:textId="5C4ECC63" w:rsidR="000E19B7" w:rsidRDefault="00F924FA" w:rsidP="00B73567">
      <w:pPr>
        <w:jc w:val="both"/>
        <w:rPr>
          <w:szCs w:val="20"/>
        </w:rPr>
      </w:pPr>
      <w:r>
        <w:rPr>
          <w:szCs w:val="20"/>
        </w:rPr>
        <w:t>Каждый амплификатор (или другое оборудование для проведения ПЦР) имеет свой алгоритм работы, к которому нужно приноровиться (правильно выбрать температурные и временные режимы). Если требуется анализ в геле, нужно быть уверенным, что продукт в геле будет надлежащим образом прокрашен и визуализирован с необходимой чувствительностью. Часто, при многократном использовании камер для электрофореза, в них может накапливаться компоненты, которые могут приводить к деградации продуктов ПЦР в процессе электрофореза.</w:t>
      </w:r>
    </w:p>
    <w:p w14:paraId="5603E730" w14:textId="23645282" w:rsidR="00F924FA" w:rsidRDefault="00F924FA" w:rsidP="00B73567">
      <w:pPr>
        <w:jc w:val="both"/>
        <w:rPr>
          <w:szCs w:val="20"/>
        </w:rPr>
      </w:pPr>
      <w:r>
        <w:rPr>
          <w:szCs w:val="20"/>
        </w:rPr>
        <w:t>Для разных амплификаторов могут потребоваться пробирки определенного качества, которые придется подбирать для конкретного прибора. Часто качество пластика, из которого изготовлены пробирки и наконечники, влияют на стабильность нуклеиновой кислоты и ампликонов. Поэтому при выборе пластика требуется особенно тщательно обращать внимание на качество. Пипетки также могут быть источниками внешних загрязнений (нежелательных ампликонов, компонентов, которые могут оказывать влияние на стабильность нуклеиновых кислот и ампликонов).</w:t>
      </w:r>
    </w:p>
    <w:p w14:paraId="5ABE0F7B" w14:textId="4864BBBF" w:rsidR="00F924FA" w:rsidRDefault="00F924FA" w:rsidP="00B73567">
      <w:pPr>
        <w:jc w:val="both"/>
        <w:rPr>
          <w:szCs w:val="20"/>
        </w:rPr>
      </w:pPr>
    </w:p>
    <w:p w14:paraId="5B8374F6" w14:textId="474DAF3E" w:rsidR="00F924FA" w:rsidRPr="00F924FA" w:rsidRDefault="00F924FA" w:rsidP="00B73567">
      <w:pPr>
        <w:jc w:val="both"/>
        <w:rPr>
          <w:b/>
          <w:bCs/>
          <w:szCs w:val="20"/>
        </w:rPr>
      </w:pPr>
      <w:r w:rsidRPr="00F924FA">
        <w:rPr>
          <w:b/>
          <w:bCs/>
          <w:szCs w:val="20"/>
        </w:rPr>
        <w:t>Праймеры и реактивы</w:t>
      </w:r>
    </w:p>
    <w:p w14:paraId="4732BD98" w14:textId="311FAED7" w:rsidR="00F924FA" w:rsidRDefault="00F924FA" w:rsidP="00B73567">
      <w:pPr>
        <w:jc w:val="both"/>
        <w:rPr>
          <w:szCs w:val="20"/>
        </w:rPr>
      </w:pPr>
      <w:r>
        <w:rPr>
          <w:szCs w:val="20"/>
        </w:rPr>
        <w:t xml:space="preserve">Праймеры </w:t>
      </w:r>
      <w:r w:rsidR="00853763">
        <w:rPr>
          <w:szCs w:val="20"/>
        </w:rPr>
        <w:t xml:space="preserve">и внутренние зонды </w:t>
      </w:r>
      <w:r>
        <w:rPr>
          <w:szCs w:val="20"/>
        </w:rPr>
        <w:t>– самый распространенный источник проблем в ПЦР. Проблемы связанные с праймерами имеют несколько причин:</w:t>
      </w:r>
    </w:p>
    <w:p w14:paraId="0177D8F6" w14:textId="6CBA3B2F" w:rsidR="00F924FA" w:rsidRDefault="00F924FA" w:rsidP="00B73567">
      <w:pPr>
        <w:jc w:val="both"/>
        <w:rPr>
          <w:szCs w:val="20"/>
        </w:rPr>
      </w:pPr>
      <w:r>
        <w:rPr>
          <w:szCs w:val="20"/>
        </w:rPr>
        <w:t xml:space="preserve">- неудачный выбор праймера, приводящий к неспецифическому отжигу и другие проблемы, связанные с </w:t>
      </w:r>
      <w:r w:rsidR="00853763">
        <w:rPr>
          <w:szCs w:val="20"/>
        </w:rPr>
        <w:t>дизайном праймера</w:t>
      </w:r>
    </w:p>
    <w:p w14:paraId="0A48BC03" w14:textId="3BD666B0" w:rsidR="00F924FA" w:rsidRDefault="00F924FA" w:rsidP="00B73567">
      <w:pPr>
        <w:jc w:val="both"/>
        <w:rPr>
          <w:szCs w:val="20"/>
        </w:rPr>
      </w:pPr>
      <w:r>
        <w:rPr>
          <w:szCs w:val="20"/>
        </w:rPr>
        <w:t xml:space="preserve">- нестабильность (деградация) праймера в процессе его использования  </w:t>
      </w:r>
    </w:p>
    <w:p w14:paraId="3D0A88EF" w14:textId="1F336FA3" w:rsidR="00060D2B" w:rsidRDefault="00853763" w:rsidP="00B73567">
      <w:pPr>
        <w:jc w:val="both"/>
        <w:rPr>
          <w:szCs w:val="20"/>
        </w:rPr>
      </w:pPr>
      <w:r>
        <w:rPr>
          <w:szCs w:val="20"/>
        </w:rPr>
        <w:t>Ферменты, буфера, трифосфаты и другие компоненты в меньшей степени служат источником проблем и вызываемые ими проблемы легко выявляемы.</w:t>
      </w:r>
      <w:r w:rsidR="00ED0BD4">
        <w:rPr>
          <w:szCs w:val="20"/>
        </w:rPr>
        <w:t xml:space="preserve"> Но и здесь нужно учитывать особенности используемых ферментов и буферов, в которых они работают. </w:t>
      </w:r>
    </w:p>
    <w:p w14:paraId="5A34D6ED" w14:textId="38263051" w:rsidR="00ED0BD4" w:rsidRDefault="00ED0BD4" w:rsidP="00B73567">
      <w:pPr>
        <w:jc w:val="both"/>
        <w:rPr>
          <w:szCs w:val="20"/>
        </w:rPr>
      </w:pPr>
    </w:p>
    <w:p w14:paraId="19B2AF4A" w14:textId="610E57AA" w:rsidR="00853763" w:rsidRPr="00853763" w:rsidRDefault="00853763" w:rsidP="00B73567">
      <w:pPr>
        <w:jc w:val="both"/>
        <w:rPr>
          <w:b/>
          <w:bCs/>
          <w:szCs w:val="20"/>
        </w:rPr>
      </w:pPr>
      <w:r w:rsidRPr="00853763">
        <w:rPr>
          <w:b/>
          <w:bCs/>
          <w:szCs w:val="20"/>
        </w:rPr>
        <w:t>Ошибки планирования и интерпретации получаемых результатов</w:t>
      </w:r>
    </w:p>
    <w:p w14:paraId="5A55E402" w14:textId="77777777" w:rsidR="00853763" w:rsidRDefault="00853763" w:rsidP="00B73567">
      <w:pPr>
        <w:jc w:val="both"/>
        <w:rPr>
          <w:szCs w:val="20"/>
        </w:rPr>
      </w:pPr>
      <w:r>
        <w:rPr>
          <w:szCs w:val="20"/>
        </w:rPr>
        <w:t>Самыми трудно выявляемыми являются ошибки, связанные с планированием ПЦР и последующей интерпретацией получаемых результатов.</w:t>
      </w:r>
    </w:p>
    <w:p w14:paraId="73D158F6" w14:textId="77777777" w:rsidR="00796CD1" w:rsidRDefault="00853763" w:rsidP="00B73567">
      <w:pPr>
        <w:jc w:val="both"/>
        <w:rPr>
          <w:szCs w:val="20"/>
        </w:rPr>
      </w:pPr>
      <w:r>
        <w:rPr>
          <w:szCs w:val="20"/>
        </w:rPr>
        <w:lastRenderedPageBreak/>
        <w:t xml:space="preserve">Одна из самых главных ошибок </w:t>
      </w:r>
      <w:r w:rsidR="00796CD1">
        <w:rPr>
          <w:szCs w:val="20"/>
        </w:rPr>
        <w:t>– недооценка качества материала, полученного выделением из исходного анализируемого образца. Выделение разными методами и наборами дает материал, содержащий разного рода примеси, специфические для данного метода или набора. Выбор оптимального способа подготовки материала – первый шаг к получению корректного результата.</w:t>
      </w:r>
    </w:p>
    <w:p w14:paraId="71676A8E" w14:textId="77777777" w:rsidR="00CD6430" w:rsidRDefault="00AB4A12" w:rsidP="00B73567">
      <w:pPr>
        <w:jc w:val="both"/>
        <w:rPr>
          <w:szCs w:val="20"/>
        </w:rPr>
      </w:pPr>
      <w:r>
        <w:rPr>
          <w:szCs w:val="20"/>
        </w:rPr>
        <w:t xml:space="preserve">Другая частая ошибка – </w:t>
      </w:r>
      <w:r w:rsidR="00FC713A">
        <w:rPr>
          <w:szCs w:val="20"/>
        </w:rPr>
        <w:t xml:space="preserve">неправильное </w:t>
      </w:r>
      <w:r>
        <w:rPr>
          <w:szCs w:val="20"/>
        </w:rPr>
        <w:t xml:space="preserve">использование контроля. Контроль </w:t>
      </w:r>
      <w:r w:rsidR="00FC713A">
        <w:rPr>
          <w:szCs w:val="20"/>
        </w:rPr>
        <w:t xml:space="preserve">может быть внутренним (та же нуклеиновая кислота, которая используется для анализа, но другая последовательность) или внешним (дополнительно вносимый в образец, так называемый </w:t>
      </w:r>
      <w:r w:rsidR="00FC713A">
        <w:rPr>
          <w:szCs w:val="20"/>
          <w:lang w:val="en-US"/>
        </w:rPr>
        <w:t>spiked</w:t>
      </w:r>
      <w:r w:rsidR="00FC713A" w:rsidRPr="00FC713A">
        <w:rPr>
          <w:szCs w:val="20"/>
        </w:rPr>
        <w:t xml:space="preserve">, </w:t>
      </w:r>
      <w:r w:rsidR="00FC713A">
        <w:rPr>
          <w:szCs w:val="20"/>
          <w:lang w:val="en-US"/>
        </w:rPr>
        <w:t>spike</w:t>
      </w:r>
      <w:r w:rsidR="00FC713A" w:rsidRPr="00FC713A">
        <w:rPr>
          <w:szCs w:val="20"/>
        </w:rPr>
        <w:t>-</w:t>
      </w:r>
      <w:r w:rsidR="00FC713A">
        <w:rPr>
          <w:szCs w:val="20"/>
          <w:lang w:val="en-US"/>
        </w:rPr>
        <w:t>in</w:t>
      </w:r>
      <w:r w:rsidR="00FC713A" w:rsidRPr="00FC713A">
        <w:rPr>
          <w:szCs w:val="20"/>
        </w:rPr>
        <w:t xml:space="preserve">, </w:t>
      </w:r>
      <w:r w:rsidR="00FC713A">
        <w:rPr>
          <w:szCs w:val="20"/>
          <w:lang w:val="en-US"/>
        </w:rPr>
        <w:t>spike</w:t>
      </w:r>
      <w:r w:rsidR="00FC713A">
        <w:rPr>
          <w:szCs w:val="20"/>
        </w:rPr>
        <w:t xml:space="preserve"> контроль</w:t>
      </w:r>
      <w:r w:rsidR="00FC713A" w:rsidRPr="00FC713A">
        <w:rPr>
          <w:szCs w:val="20"/>
        </w:rPr>
        <w:t>).</w:t>
      </w:r>
      <w:r w:rsidR="00853763">
        <w:rPr>
          <w:szCs w:val="20"/>
        </w:rPr>
        <w:t xml:space="preserve"> </w:t>
      </w:r>
      <w:r w:rsidR="00FC713A">
        <w:rPr>
          <w:szCs w:val="20"/>
        </w:rPr>
        <w:t xml:space="preserve">Проблемы с внутренним контролем в мультиплексном ПЦР связаны с тем, что иногда эффективность амплификации контрольного участка оказывается более высокой по сравнению с анализируемым участком. </w:t>
      </w:r>
      <w:r w:rsidR="008757E8">
        <w:rPr>
          <w:szCs w:val="20"/>
        </w:rPr>
        <w:t>Реактивы расходуются на</w:t>
      </w:r>
      <w:r w:rsidR="00CD6430">
        <w:rPr>
          <w:szCs w:val="20"/>
        </w:rPr>
        <w:t xml:space="preserve"> амплификацию контроля и в</w:t>
      </w:r>
      <w:r w:rsidR="00FC713A">
        <w:rPr>
          <w:szCs w:val="20"/>
        </w:rPr>
        <w:t xml:space="preserve"> результате получаются заниженные значения целевой амплификации. </w:t>
      </w:r>
    </w:p>
    <w:p w14:paraId="3A93C1DD" w14:textId="43D5854B" w:rsidR="00060D2B" w:rsidRDefault="00FC713A" w:rsidP="00B73567">
      <w:pPr>
        <w:jc w:val="both"/>
        <w:rPr>
          <w:szCs w:val="20"/>
        </w:rPr>
      </w:pPr>
      <w:r>
        <w:rPr>
          <w:szCs w:val="20"/>
        </w:rPr>
        <w:t xml:space="preserve">Проблемы </w:t>
      </w:r>
      <w:r w:rsidR="006D1676">
        <w:rPr>
          <w:szCs w:val="20"/>
        </w:rPr>
        <w:t>с</w:t>
      </w:r>
      <w:r>
        <w:rPr>
          <w:szCs w:val="20"/>
        </w:rPr>
        <w:t xml:space="preserve"> вносимым внешним контролем более сложные.</w:t>
      </w:r>
    </w:p>
    <w:p w14:paraId="37A27DBF" w14:textId="4A2505CC" w:rsidR="00C049F8" w:rsidRPr="00B73567" w:rsidRDefault="00ED0BD4" w:rsidP="00B73567">
      <w:pPr>
        <w:jc w:val="both"/>
        <w:rPr>
          <w:szCs w:val="20"/>
        </w:rPr>
      </w:pPr>
      <w:r>
        <w:rPr>
          <w:szCs w:val="20"/>
        </w:rPr>
        <w:t>Внешние контроли часто вносят в исходный образец перед выделением. Нуклеиновые кислоты, в особенности ампликоны, вносимые в такие биологические образцы как плазма, сыворотка, слюна, моча, подвергаются активному воздействию многочисленных разрушающих компонентов. В результате вносимый контроль разрушается, иногда в считанные секунды, и оценить качество выделения при последующем анализе посредством ПЦР не представляется возможным. Даже если вносимый образец не подвергся разрушению на стадии внесения</w:t>
      </w:r>
      <w:r w:rsidR="00CD6430">
        <w:rPr>
          <w:szCs w:val="20"/>
        </w:rPr>
        <w:t xml:space="preserve"> перед выделением</w:t>
      </w:r>
      <w:r>
        <w:rPr>
          <w:szCs w:val="20"/>
        </w:rPr>
        <w:t xml:space="preserve">, внешняя нуклеиновая кислота может влиять на результат амплификации </w:t>
      </w:r>
      <w:r w:rsidR="00CD6430">
        <w:rPr>
          <w:szCs w:val="20"/>
        </w:rPr>
        <w:t xml:space="preserve">в процессе ПЦР </w:t>
      </w:r>
      <w:r>
        <w:rPr>
          <w:szCs w:val="20"/>
        </w:rPr>
        <w:t>и приводить к ложно позитивным результатам.</w:t>
      </w:r>
    </w:p>
    <w:p w14:paraId="7154CAD3" w14:textId="7A0968DF" w:rsidR="00B73567" w:rsidRDefault="00B73567" w:rsidP="00B73567">
      <w:pPr>
        <w:jc w:val="both"/>
        <w:rPr>
          <w:szCs w:val="20"/>
        </w:rPr>
      </w:pPr>
    </w:p>
    <w:p w14:paraId="56092979" w14:textId="5A6619FC" w:rsidR="00842EA7" w:rsidRPr="00842EA7" w:rsidRDefault="00842EA7" w:rsidP="00B73567">
      <w:pPr>
        <w:jc w:val="both"/>
        <w:rPr>
          <w:sz w:val="24"/>
          <w:szCs w:val="24"/>
        </w:rPr>
      </w:pPr>
      <w:r w:rsidRPr="00842EA7">
        <w:rPr>
          <w:sz w:val="24"/>
          <w:szCs w:val="24"/>
        </w:rPr>
        <w:t>Заключение</w:t>
      </w:r>
    </w:p>
    <w:p w14:paraId="19FFB131" w14:textId="013D53B6" w:rsidR="00842EA7" w:rsidRDefault="00842EA7" w:rsidP="00B73567">
      <w:pPr>
        <w:jc w:val="both"/>
        <w:rPr>
          <w:szCs w:val="20"/>
        </w:rPr>
      </w:pPr>
    </w:p>
    <w:p w14:paraId="28C1155B" w14:textId="324D0446" w:rsidR="00842EA7" w:rsidRDefault="00842EA7" w:rsidP="00B73567">
      <w:pPr>
        <w:jc w:val="both"/>
        <w:rPr>
          <w:szCs w:val="20"/>
        </w:rPr>
      </w:pPr>
      <w:r w:rsidRPr="00842EA7">
        <w:rPr>
          <w:szCs w:val="20"/>
        </w:rPr>
        <w:t>Оглядываясь назад</w:t>
      </w:r>
      <w:r>
        <w:rPr>
          <w:szCs w:val="20"/>
        </w:rPr>
        <w:t xml:space="preserve"> на путь, который проделал метод</w:t>
      </w:r>
      <w:r w:rsidRPr="00842EA7">
        <w:rPr>
          <w:szCs w:val="20"/>
        </w:rPr>
        <w:t xml:space="preserve"> ПЦР</w:t>
      </w:r>
      <w:r>
        <w:rPr>
          <w:szCs w:val="20"/>
        </w:rPr>
        <w:t xml:space="preserve">, можно сказать, что это был путь, который привел к новым возможностям </w:t>
      </w:r>
      <w:r w:rsidRPr="00842EA7">
        <w:rPr>
          <w:szCs w:val="20"/>
        </w:rPr>
        <w:t>для фундаментальных исследований, трансляционных исследований и клиническ</w:t>
      </w:r>
      <w:r w:rsidR="00CD6430">
        <w:rPr>
          <w:szCs w:val="20"/>
        </w:rPr>
        <w:t>ой</w:t>
      </w:r>
      <w:r w:rsidRPr="00842EA7">
        <w:rPr>
          <w:szCs w:val="20"/>
        </w:rPr>
        <w:t xml:space="preserve"> диагности</w:t>
      </w:r>
      <w:r w:rsidR="00CD6430">
        <w:rPr>
          <w:szCs w:val="20"/>
        </w:rPr>
        <w:t>ки</w:t>
      </w:r>
      <w:r w:rsidRPr="00842EA7">
        <w:rPr>
          <w:szCs w:val="20"/>
        </w:rPr>
        <w:t xml:space="preserve">. Простота использования и постоянные модификации </w:t>
      </w:r>
      <w:r>
        <w:rPr>
          <w:szCs w:val="20"/>
        </w:rPr>
        <w:t>метода</w:t>
      </w:r>
      <w:r w:rsidRPr="00842EA7">
        <w:rPr>
          <w:szCs w:val="20"/>
        </w:rPr>
        <w:t xml:space="preserve"> на протяжении многих лет вывели довольно простую химическую реакцию на передний план</w:t>
      </w:r>
      <w:r>
        <w:rPr>
          <w:szCs w:val="20"/>
        </w:rPr>
        <w:t xml:space="preserve"> в научных фундаментальных исследованиях и</w:t>
      </w:r>
      <w:r w:rsidRPr="00842EA7">
        <w:rPr>
          <w:szCs w:val="20"/>
        </w:rPr>
        <w:t xml:space="preserve"> диагностической медицин</w:t>
      </w:r>
      <w:r>
        <w:rPr>
          <w:szCs w:val="20"/>
        </w:rPr>
        <w:t>е</w:t>
      </w:r>
      <w:r w:rsidRPr="00842EA7">
        <w:rPr>
          <w:szCs w:val="20"/>
        </w:rPr>
        <w:t>.</w:t>
      </w:r>
    </w:p>
    <w:p w14:paraId="1D59123F" w14:textId="7D1DB9AC" w:rsidR="00BF7717" w:rsidRDefault="00BF7717" w:rsidP="00B73567">
      <w:pPr>
        <w:jc w:val="both"/>
        <w:rPr>
          <w:szCs w:val="20"/>
        </w:rPr>
      </w:pPr>
    </w:p>
    <w:p w14:paraId="786903ED" w14:textId="1B3E60B1" w:rsidR="00BF7717" w:rsidRPr="00BF7717" w:rsidRDefault="00BF7717" w:rsidP="00B73567">
      <w:pPr>
        <w:jc w:val="both"/>
        <w:rPr>
          <w:sz w:val="24"/>
          <w:szCs w:val="24"/>
        </w:rPr>
      </w:pPr>
      <w:r w:rsidRPr="00BF7717">
        <w:rPr>
          <w:sz w:val="24"/>
          <w:szCs w:val="24"/>
        </w:rPr>
        <w:t>Литература</w:t>
      </w:r>
    </w:p>
    <w:p w14:paraId="1DED43E0" w14:textId="3251B793" w:rsidR="0026002D" w:rsidRDefault="0026002D" w:rsidP="00B73567">
      <w:pPr>
        <w:jc w:val="both"/>
        <w:rPr>
          <w:szCs w:val="20"/>
        </w:rPr>
      </w:pPr>
    </w:p>
    <w:p w14:paraId="388EF514" w14:textId="023A41D6" w:rsidR="0026002D" w:rsidRPr="0026002D" w:rsidRDefault="0026002D" w:rsidP="0026002D">
      <w:pPr>
        <w:rPr>
          <w:rFonts w:ascii="Helvetica" w:eastAsia="Times New Roman" w:hAnsi="Helvetica" w:cs="Times New Roman"/>
          <w:color w:val="666666"/>
          <w:sz w:val="24"/>
          <w:szCs w:val="24"/>
          <w:lang w:val="en-US" w:eastAsia="ru-RU"/>
        </w:rPr>
      </w:pPr>
      <w:r>
        <w:rPr>
          <w:szCs w:val="20"/>
          <w:lang w:val="en-US"/>
        </w:rPr>
        <w:t>1. </w:t>
      </w:r>
      <w:r w:rsidRPr="0026002D">
        <w:rPr>
          <w:rFonts w:asciiTheme="majorHAnsi" w:eastAsia="Times New Roman" w:hAnsiTheme="majorHAnsi" w:cstheme="majorHAnsi"/>
          <w:szCs w:val="20"/>
          <w:lang w:val="en-US" w:eastAsia="ru-RU"/>
        </w:rPr>
        <w:t>Kornberg</w:t>
      </w:r>
      <w:r>
        <w:rPr>
          <w:rFonts w:asciiTheme="majorHAnsi" w:eastAsia="Times New Roman" w:hAnsiTheme="majorHAnsi" w:cstheme="majorHAnsi"/>
          <w:szCs w:val="20"/>
          <w:lang w:val="en-US" w:eastAsia="ru-RU"/>
        </w:rPr>
        <w:t xml:space="preserve">, A., </w:t>
      </w:r>
      <w:r w:rsidR="00DB488B" w:rsidRPr="0026002D">
        <w:rPr>
          <w:rFonts w:asciiTheme="majorHAnsi" w:eastAsia="Times New Roman" w:hAnsiTheme="majorHAnsi" w:cstheme="majorHAnsi"/>
          <w:szCs w:val="20"/>
          <w:lang w:val="en-US" w:eastAsia="ru-RU"/>
        </w:rPr>
        <w:t>Science 28</w:t>
      </w:r>
      <w:r w:rsidRPr="0026002D">
        <w:rPr>
          <w:rFonts w:asciiTheme="majorHAnsi" w:eastAsia="Times New Roman" w:hAnsiTheme="majorHAnsi" w:cstheme="majorHAnsi"/>
          <w:szCs w:val="20"/>
          <w:lang w:val="en-US" w:eastAsia="ru-RU"/>
        </w:rPr>
        <w:t xml:space="preserve"> Mar 1969:</w:t>
      </w:r>
      <w:r>
        <w:rPr>
          <w:rFonts w:asciiTheme="majorHAnsi" w:eastAsia="Times New Roman" w:hAnsiTheme="majorHAnsi" w:cstheme="majorHAnsi"/>
          <w:szCs w:val="20"/>
          <w:lang w:val="en-US" w:eastAsia="ru-RU"/>
        </w:rPr>
        <w:t xml:space="preserve"> </w:t>
      </w:r>
      <w:r w:rsidRPr="0026002D">
        <w:rPr>
          <w:rFonts w:asciiTheme="majorHAnsi" w:eastAsia="Times New Roman" w:hAnsiTheme="majorHAnsi" w:cstheme="majorHAnsi"/>
          <w:szCs w:val="20"/>
          <w:lang w:val="en-US" w:eastAsia="ru-RU"/>
        </w:rPr>
        <w:t>Vol. 163, Issue 3874, pp. 1410-1418</w:t>
      </w:r>
    </w:p>
    <w:p w14:paraId="39EBD9DF" w14:textId="724B9718" w:rsidR="0026002D" w:rsidRDefault="0026002D" w:rsidP="00B73567">
      <w:pPr>
        <w:jc w:val="both"/>
        <w:rPr>
          <w:rFonts w:asciiTheme="majorHAnsi" w:hAnsiTheme="majorHAnsi" w:cstheme="majorHAnsi"/>
          <w:color w:val="000000"/>
          <w:shd w:val="clear" w:color="auto" w:fill="FFFFFF"/>
          <w:lang w:val="en-US"/>
        </w:rPr>
      </w:pPr>
      <w:r>
        <w:rPr>
          <w:szCs w:val="20"/>
          <w:lang w:val="en-US"/>
        </w:rPr>
        <w:t>2. </w:t>
      </w:r>
      <w:r w:rsidRPr="0026002D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Richardson, C C (1969). Enzymes in DNA Metabolism. Annual Review of Biochemistry, 38(1), 795–840.</w:t>
      </w:r>
    </w:p>
    <w:p w14:paraId="58F07139" w14:textId="1525A2CB" w:rsidR="0026002D" w:rsidRPr="0026002D" w:rsidRDefault="0026002D" w:rsidP="0026002D">
      <w:pPr>
        <w:ind w:left="227" w:hanging="227"/>
        <w:jc w:val="both"/>
        <w:rPr>
          <w:szCs w:val="20"/>
          <w:lang w:val="en-US"/>
        </w:rPr>
      </w:pPr>
      <w:r>
        <w:rPr>
          <w:rFonts w:asciiTheme="majorHAnsi" w:hAnsiTheme="majorHAnsi" w:cstheme="majorHAnsi"/>
          <w:color w:val="000000"/>
          <w:shd w:val="clear" w:color="auto" w:fill="FFFFFF"/>
          <w:lang w:val="en-US"/>
        </w:rPr>
        <w:t>3. </w:t>
      </w:r>
      <w:r w:rsidRPr="0026002D">
        <w:rPr>
          <w:rFonts w:asciiTheme="majorHAnsi" w:hAnsiTheme="majorHAnsi" w:cstheme="majorHAnsi"/>
          <w:shd w:val="clear" w:color="auto" w:fill="FFFFFF"/>
          <w:lang w:val="en-US"/>
        </w:rPr>
        <w:t>Kleppe, K.; Ohtsuka, E.; Kleppe, R.; Molineux, I.; Khorana, H.G. (1971). </w:t>
      </w:r>
      <w:r w:rsidRPr="00060D2B">
        <w:rPr>
          <w:rFonts w:asciiTheme="majorHAnsi" w:hAnsiTheme="majorHAnsi" w:cstheme="majorHAnsi"/>
          <w:shd w:val="clear" w:color="auto" w:fill="FFFFFF"/>
          <w:lang w:val="en-US"/>
        </w:rPr>
        <w:t>Studies on polynucleotides. Journal of Molecular Biology, 56(2), 341–361.</w:t>
      </w:r>
    </w:p>
    <w:p w14:paraId="50F7332B" w14:textId="1D858382" w:rsidR="00B73567" w:rsidRDefault="00DB488B" w:rsidP="00B73567">
      <w:pPr>
        <w:autoSpaceDE w:val="0"/>
        <w:autoSpaceDN w:val="0"/>
        <w:adjustRightInd w:val="0"/>
        <w:ind w:left="227" w:hanging="227"/>
        <w:jc w:val="both"/>
        <w:rPr>
          <w:rFonts w:asciiTheme="majorHAnsi" w:hAnsiTheme="majorHAnsi" w:cstheme="majorHAnsi"/>
          <w:szCs w:val="20"/>
        </w:rPr>
      </w:pPr>
      <w:r w:rsidRPr="00060D2B">
        <w:rPr>
          <w:szCs w:val="20"/>
          <w:lang w:val="en-US"/>
        </w:rPr>
        <w:t>4</w:t>
      </w:r>
      <w:r w:rsidR="00B73567">
        <w:rPr>
          <w:szCs w:val="20"/>
          <w:lang w:val="en-US"/>
        </w:rPr>
        <w:t>. </w:t>
      </w:r>
      <w:r w:rsidR="00B73567" w:rsidRPr="00B73567">
        <w:rPr>
          <w:rFonts w:asciiTheme="majorHAnsi" w:hAnsiTheme="majorHAnsi" w:cstheme="majorHAnsi"/>
          <w:szCs w:val="20"/>
          <w:lang w:val="en-US"/>
        </w:rPr>
        <w:t xml:space="preserve">Mullis KB. The unusual origin of the polymerase chain reaction. </w:t>
      </w:r>
      <w:r w:rsidR="00B73567" w:rsidRPr="00B73567">
        <w:rPr>
          <w:rFonts w:asciiTheme="majorHAnsi" w:hAnsiTheme="majorHAnsi" w:cstheme="majorHAnsi"/>
          <w:szCs w:val="20"/>
        </w:rPr>
        <w:t>Scientific American. 1990; 262(4):</w:t>
      </w:r>
      <w:r w:rsidR="00B73567">
        <w:rPr>
          <w:rFonts w:asciiTheme="majorHAnsi" w:hAnsiTheme="majorHAnsi" w:cstheme="majorHAnsi"/>
          <w:szCs w:val="20"/>
          <w:lang w:val="en-US"/>
        </w:rPr>
        <w:t xml:space="preserve"> </w:t>
      </w:r>
      <w:r w:rsidR="00B73567" w:rsidRPr="00B73567">
        <w:rPr>
          <w:rFonts w:asciiTheme="majorHAnsi" w:hAnsiTheme="majorHAnsi" w:cstheme="majorHAnsi"/>
          <w:szCs w:val="20"/>
        </w:rPr>
        <w:t>56–61. 64–5.</w:t>
      </w:r>
    </w:p>
    <w:p w14:paraId="1F9B90E7" w14:textId="3A794D94" w:rsidR="00B73567" w:rsidRDefault="00DB488B" w:rsidP="00B73567">
      <w:pPr>
        <w:pStyle w:val="Default"/>
        <w:ind w:left="227" w:hanging="227"/>
        <w:jc w:val="both"/>
        <w:rPr>
          <w:rFonts w:asciiTheme="majorHAnsi" w:hAnsiTheme="majorHAnsi" w:cstheme="majorHAnsi"/>
          <w:color w:val="2B2B2B"/>
          <w:sz w:val="20"/>
          <w:szCs w:val="20"/>
          <w:lang w:val="en-US"/>
        </w:rPr>
      </w:pPr>
      <w:r w:rsidRPr="00DB488B">
        <w:rPr>
          <w:rFonts w:asciiTheme="majorHAnsi" w:hAnsiTheme="majorHAnsi" w:cstheme="majorHAnsi"/>
          <w:sz w:val="20"/>
          <w:szCs w:val="20"/>
          <w:lang w:val="en-US"/>
        </w:rPr>
        <w:t>5</w:t>
      </w:r>
      <w:r w:rsidR="00B73567" w:rsidRPr="00B73567">
        <w:rPr>
          <w:rFonts w:asciiTheme="majorHAnsi" w:hAnsiTheme="majorHAnsi" w:cstheme="majorHAnsi"/>
          <w:sz w:val="20"/>
          <w:szCs w:val="20"/>
          <w:lang w:val="en-US"/>
        </w:rPr>
        <w:t>. </w:t>
      </w:r>
      <w:r w:rsidR="00B73567" w:rsidRP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 xml:space="preserve">Mullis K, Faloona F, Scharf S, Saiki R, Horn G, Erlich H. Specific enzymatic amplification of DNA in vitro: </w:t>
      </w:r>
      <w:r w:rsid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>t</w:t>
      </w:r>
      <w:r w:rsidR="00B73567" w:rsidRP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>he</w:t>
      </w:r>
      <w:r w:rsid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 xml:space="preserve"> </w:t>
      </w:r>
      <w:r w:rsidR="00B73567" w:rsidRP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>polymerase chain reaction. Cold Spring Harb Symp Quant Biol. 1986;51 Pt 1:263-73</w:t>
      </w:r>
    </w:p>
    <w:p w14:paraId="74F1D0B5" w14:textId="13BECED4" w:rsidR="00B73567" w:rsidRPr="00B73567" w:rsidRDefault="00DB488B" w:rsidP="00B73567">
      <w:pPr>
        <w:pStyle w:val="Default"/>
        <w:ind w:left="227" w:hanging="227"/>
        <w:jc w:val="both"/>
        <w:rPr>
          <w:rFonts w:asciiTheme="majorHAnsi" w:hAnsiTheme="majorHAnsi" w:cstheme="majorHAnsi"/>
          <w:color w:val="auto"/>
          <w:sz w:val="20"/>
          <w:szCs w:val="20"/>
          <w:lang w:val="en-US"/>
        </w:rPr>
      </w:pPr>
      <w:r w:rsidRPr="00DB488B">
        <w:rPr>
          <w:rFonts w:asciiTheme="majorHAnsi" w:hAnsiTheme="majorHAnsi" w:cstheme="majorHAnsi"/>
          <w:color w:val="2B2B2B"/>
          <w:sz w:val="20"/>
          <w:szCs w:val="20"/>
          <w:lang w:val="en-US"/>
        </w:rPr>
        <w:t>6</w:t>
      </w:r>
      <w:r w:rsid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>. </w:t>
      </w:r>
      <w:r w:rsidR="00B73567" w:rsidRP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>Mullis K, Faloona F. Specific synthesis of DNA in vitro via a polymerase-catalyzed chain reaction. Methods</w:t>
      </w:r>
      <w:r w:rsid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 xml:space="preserve"> </w:t>
      </w:r>
      <w:r w:rsidR="00B73567" w:rsidRP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>Enzymol. 1987;155:335-50</w:t>
      </w:r>
    </w:p>
    <w:p w14:paraId="00A6F687" w14:textId="2702722B" w:rsidR="00B73567" w:rsidRPr="00B73567" w:rsidRDefault="00DB488B" w:rsidP="00B73567">
      <w:pPr>
        <w:pStyle w:val="Default"/>
        <w:ind w:left="227" w:hanging="227"/>
        <w:jc w:val="both"/>
        <w:rPr>
          <w:rFonts w:asciiTheme="majorHAnsi" w:hAnsiTheme="majorHAnsi" w:cstheme="majorHAnsi"/>
          <w:color w:val="2B2B2B"/>
          <w:sz w:val="20"/>
          <w:szCs w:val="20"/>
          <w:lang w:val="en-US"/>
        </w:rPr>
      </w:pPr>
      <w:r w:rsidRPr="00060D2B">
        <w:rPr>
          <w:rFonts w:asciiTheme="majorHAnsi" w:hAnsiTheme="majorHAnsi" w:cstheme="majorHAnsi"/>
          <w:color w:val="auto"/>
          <w:sz w:val="20"/>
          <w:szCs w:val="20"/>
          <w:lang w:val="en-US"/>
        </w:rPr>
        <w:t>7</w:t>
      </w:r>
      <w:r w:rsidR="00B73567" w:rsidRPr="00060D2B">
        <w:rPr>
          <w:rFonts w:asciiTheme="majorHAnsi" w:hAnsiTheme="majorHAnsi" w:cstheme="majorHAnsi"/>
          <w:color w:val="auto"/>
          <w:sz w:val="20"/>
          <w:szCs w:val="20"/>
          <w:lang w:val="en-US"/>
        </w:rPr>
        <w:t xml:space="preserve">. </w:t>
      </w:r>
      <w:r w:rsidR="00B73567" w:rsidRPr="00060D2B">
        <w:rPr>
          <w:rFonts w:asciiTheme="majorHAnsi" w:hAnsiTheme="majorHAnsi" w:cstheme="majorHAnsi"/>
          <w:color w:val="2B2B2B"/>
          <w:sz w:val="20"/>
          <w:szCs w:val="20"/>
          <w:lang w:val="en-US"/>
        </w:rPr>
        <w:t xml:space="preserve">Saiki R, Scharf S, Faloona F, Mullis K, Horn G, Erlich H, </w:t>
      </w:r>
      <w:r w:rsidR="00B73567" w:rsidRPr="00060D2B">
        <w:rPr>
          <w:rFonts w:asciiTheme="majorHAnsi" w:hAnsiTheme="majorHAnsi" w:cstheme="majorHAnsi"/>
          <w:i/>
          <w:iCs/>
          <w:color w:val="2B2B2B"/>
          <w:sz w:val="20"/>
          <w:szCs w:val="20"/>
          <w:lang w:val="en-US"/>
        </w:rPr>
        <w:t>et al</w:t>
      </w:r>
      <w:r w:rsidR="00B73567" w:rsidRPr="00060D2B">
        <w:rPr>
          <w:rFonts w:asciiTheme="majorHAnsi" w:hAnsiTheme="majorHAnsi" w:cstheme="majorHAnsi"/>
          <w:color w:val="2B2B2B"/>
          <w:sz w:val="20"/>
          <w:szCs w:val="20"/>
          <w:lang w:val="en-US"/>
        </w:rPr>
        <w:t xml:space="preserve">. </w:t>
      </w:r>
      <w:r w:rsidR="00B73567" w:rsidRP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>Enzymatic amplification of beta-globin</w:t>
      </w:r>
      <w:r w:rsid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 xml:space="preserve"> </w:t>
      </w:r>
      <w:r w:rsidR="00B73567" w:rsidRPr="00B73567">
        <w:rPr>
          <w:rFonts w:asciiTheme="majorHAnsi" w:hAnsiTheme="majorHAnsi" w:cstheme="majorHAnsi"/>
          <w:color w:val="2B2B2B"/>
          <w:sz w:val="20"/>
          <w:szCs w:val="20"/>
          <w:lang w:val="en-US"/>
        </w:rPr>
        <w:t>genomicsequences and restriction site analysis for diagnosis of sickle cell anemia. Science. 1985;230:1350-4</w:t>
      </w:r>
    </w:p>
    <w:p w14:paraId="579DD491" w14:textId="204C3F69" w:rsidR="00B73567" w:rsidRPr="00B73567" w:rsidRDefault="00B73567" w:rsidP="00B73567">
      <w:pPr>
        <w:autoSpaceDE w:val="0"/>
        <w:autoSpaceDN w:val="0"/>
        <w:adjustRightInd w:val="0"/>
        <w:rPr>
          <w:szCs w:val="20"/>
          <w:lang w:val="en-US"/>
        </w:rPr>
      </w:pPr>
    </w:p>
    <w:sectPr w:rsidR="00B73567" w:rsidRPr="00B73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8499A1"/>
    <w:multiLevelType w:val="hybridMultilevel"/>
    <w:tmpl w:val="DD4452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6B7"/>
    <w:rsid w:val="00060D2B"/>
    <w:rsid w:val="00082DAE"/>
    <w:rsid w:val="000E19B7"/>
    <w:rsid w:val="00162246"/>
    <w:rsid w:val="00162BA9"/>
    <w:rsid w:val="00197F6D"/>
    <w:rsid w:val="0026002D"/>
    <w:rsid w:val="003B07B7"/>
    <w:rsid w:val="005F1CA0"/>
    <w:rsid w:val="00684776"/>
    <w:rsid w:val="006D1676"/>
    <w:rsid w:val="006E34B6"/>
    <w:rsid w:val="006E7889"/>
    <w:rsid w:val="00784250"/>
    <w:rsid w:val="00796CD1"/>
    <w:rsid w:val="007F117D"/>
    <w:rsid w:val="00842EA7"/>
    <w:rsid w:val="00853763"/>
    <w:rsid w:val="008757E8"/>
    <w:rsid w:val="008761D9"/>
    <w:rsid w:val="008D6F59"/>
    <w:rsid w:val="009B7414"/>
    <w:rsid w:val="009E6486"/>
    <w:rsid w:val="00A54387"/>
    <w:rsid w:val="00AB4A12"/>
    <w:rsid w:val="00B256B7"/>
    <w:rsid w:val="00B60528"/>
    <w:rsid w:val="00B73567"/>
    <w:rsid w:val="00BF7717"/>
    <w:rsid w:val="00C049F8"/>
    <w:rsid w:val="00CD6430"/>
    <w:rsid w:val="00D566D7"/>
    <w:rsid w:val="00D57526"/>
    <w:rsid w:val="00DB488B"/>
    <w:rsid w:val="00DD7BCE"/>
    <w:rsid w:val="00DE2315"/>
    <w:rsid w:val="00E46339"/>
    <w:rsid w:val="00ED0BD4"/>
    <w:rsid w:val="00F02052"/>
    <w:rsid w:val="00F06C29"/>
    <w:rsid w:val="00F924FA"/>
    <w:rsid w:val="00FC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45F6C"/>
  <w15:chartTrackingRefBased/>
  <w15:docId w15:val="{630A3850-7A8C-4221-8C0E-EDC1DB265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57E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56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4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6486"/>
    <w:rPr>
      <w:color w:val="954F72" w:themeColor="followedHyperlink"/>
      <w:u w:val="single"/>
    </w:rPr>
  </w:style>
  <w:style w:type="paragraph" w:customStyle="1" w:styleId="Default">
    <w:name w:val="Default"/>
    <w:rsid w:val="00B735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refix-by">
    <w:name w:val="prefix-by"/>
    <w:basedOn w:val="DefaultParagraphFont"/>
    <w:rsid w:val="0026002D"/>
  </w:style>
  <w:style w:type="character" w:customStyle="1" w:styleId="highwire-citation-author">
    <w:name w:val="highwire-citation-author"/>
    <w:basedOn w:val="DefaultParagraphFont"/>
    <w:rsid w:val="0026002D"/>
  </w:style>
  <w:style w:type="paragraph" w:customStyle="1" w:styleId="contributor-listreveal">
    <w:name w:val="contributor-list__reveal"/>
    <w:basedOn w:val="Normal"/>
    <w:rsid w:val="002600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ributor-listtoggler">
    <w:name w:val="contributor-list__toggler"/>
    <w:basedOn w:val="DefaultParagraphFont"/>
    <w:rsid w:val="0026002D"/>
  </w:style>
  <w:style w:type="character" w:customStyle="1" w:styleId="collapsed-text">
    <w:name w:val="collapsed-text"/>
    <w:basedOn w:val="DefaultParagraphFont"/>
    <w:rsid w:val="0026002D"/>
  </w:style>
  <w:style w:type="character" w:styleId="HTMLCite">
    <w:name w:val="HTML Cite"/>
    <w:basedOn w:val="DefaultParagraphFont"/>
    <w:uiPriority w:val="99"/>
    <w:semiHidden/>
    <w:unhideWhenUsed/>
    <w:rsid w:val="0026002D"/>
    <w:rPr>
      <w:i/>
      <w:iCs/>
    </w:rPr>
  </w:style>
  <w:style w:type="table" w:styleId="TableGrid">
    <w:name w:val="Table Grid"/>
    <w:basedOn w:val="TableNormal"/>
    <w:uiPriority w:val="39"/>
    <w:rsid w:val="00060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757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6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6200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Charles_C._Richardson" TargetMode="External"/><Relationship Id="rId13" Type="http://schemas.openxmlformats.org/officeDocument/2006/relationships/hyperlink" Target="https://sileks.com/ru/deoxytriphosphates-dntp.html" TargetMode="External"/><Relationship Id="rId1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n.wikipedia.org/wiki/Arthur_Kornberg" TargetMode="External"/><Relationship Id="rId12" Type="http://schemas.openxmlformats.org/officeDocument/2006/relationships/hyperlink" Target="https://sileks.com/ru/pcr_first_strand_synthesis.html" TargetMode="Externa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hyperlink" Target="https://en.wikipedia.org/wiki/Polymerase_chain_reaction" TargetMode="External"/><Relationship Id="rId20" Type="http://schemas.openxmlformats.org/officeDocument/2006/relationships/hyperlink" Target="https://www.freethink.com/articles/admitting-mistake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E%D1%80%D0%BD%D0%B1%D0%B5%D1%80%D0%B3,_%D0%90%D1%80%D1%82%D1%83%D1%80" TargetMode="External"/><Relationship Id="rId11" Type="http://schemas.openxmlformats.org/officeDocument/2006/relationships/hyperlink" Target="https://sileks.com/assets/files/review/unusual-origin-of-the-polymerase-chain-reaction_by-kary-b-mullis.pdf" TargetMode="External"/><Relationship Id="rId5" Type="http://schemas.openxmlformats.org/officeDocument/2006/relationships/hyperlink" Target="mailto:info@sileks.com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en.wikipedia.org/wiki/Kary_Mullis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1%83%D0%BB%D0%BB%D0%B8%D1%81,_%D0%9A%D1%8D%D1%80%D0%B8" TargetMode="External"/><Relationship Id="rId14" Type="http://schemas.openxmlformats.org/officeDocument/2006/relationships/hyperlink" Target="https://sileks.com/ru/enzymes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</Pages>
  <Words>1982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Sileks</Company>
  <LinksUpToDate>false</LinksUpToDate>
  <CharactersWithSpaces>13260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PCR Evolution</dc:title>
  <dc:subject/>
  <dc:creator>Alexey Zhigulin</dc:creator>
  <cp:keywords/>
  <dc:description/>
  <cp:lastModifiedBy>Alexey Zhigulin</cp:lastModifiedBy>
  <cp:revision>19</cp:revision>
  <cp:lastPrinted>2021-04-26T17:24:00Z</cp:lastPrinted>
  <dcterms:created xsi:type="dcterms:W3CDTF">2021-04-10T10:42:00Z</dcterms:created>
  <dcterms:modified xsi:type="dcterms:W3CDTF">2021-04-26T17:25:00Z</dcterms:modified>
</cp:coreProperties>
</file>